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77" w:type="dxa"/>
        <w:jc w:val="left"/>
        <w:tblInd w:w="18" w:type="dxa"/>
        <w:tblLayout w:type="fixed"/>
        <w:tblCellMar>
          <w:top w:w="0" w:type="dxa"/>
          <w:left w:w="0" w:type="dxa"/>
          <w:bottom w:w="0" w:type="dxa"/>
          <w:right w:w="0" w:type="dxa"/>
        </w:tblCellMar>
        <w:tblLook w:val="04a0"/>
      </w:tblPr>
      <w:tblGrid>
        <w:gridCol w:w="930"/>
        <w:gridCol w:w="945"/>
        <w:gridCol w:w="945"/>
        <w:gridCol w:w="945"/>
        <w:gridCol w:w="945"/>
        <w:gridCol w:w="945"/>
        <w:gridCol w:w="945"/>
        <w:gridCol w:w="945"/>
        <w:gridCol w:w="945"/>
        <w:gridCol w:w="945"/>
        <w:gridCol w:w="942"/>
      </w:tblGrid>
      <w:tr>
        <w:trPr>
          <w:trHeight w:val="315" w:hRule="exact"/>
        </w:trPr>
        <w:tc>
          <w:tcPr>
            <w:tcW w:w="1037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ДОГОВОР</w:t>
            </w:r>
          </w:p>
        </w:tc>
      </w:tr>
      <w:tr>
        <w:trPr>
          <w:trHeight w:val="270" w:hRule="exact"/>
        </w:trPr>
        <w:tc>
          <w:tcPr>
            <w:tcW w:w="1037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купли-продажи</w:t>
            </w:r>
          </w:p>
        </w:tc>
      </w:tr>
      <w:tr>
        <w:trPr>
          <w:trHeight w:val="270" w:hRule="exact"/>
        </w:trPr>
        <w:tc>
          <w:tcPr>
            <w:tcW w:w="9435" w:type="dxa"/>
            <w:gridSpan w:val="10"/>
            <w:tcBorders/>
            <w:shd w:color="FFFFFF" w:fill="auto" w:val="clear"/>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2" w:type="dxa"/>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sz w:val="20"/>
                <w:szCs w:val="20"/>
              </w:rPr>
            </w:r>
          </w:p>
        </w:tc>
      </w:tr>
      <w:tr>
        <w:trPr>
          <w:trHeight w:val="300"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77" w:type="dxa"/>
            <w:gridSpan w:val="11"/>
            <w:tcBorders/>
            <w:shd w:color="FFFFFF" w:fill="auto" w:val="clear"/>
            <w:vAlign w:val="bottom"/>
          </w:tcPr>
          <w:p>
            <w:pPr>
              <w:pStyle w:val="Normal"/>
              <w:widowControl w:val="false"/>
              <w:suppressAutoHyphens w:val="true"/>
              <w:bidi w:val="0"/>
              <w:spacing w:lineRule="auto" w:line="240" w:before="0" w:after="0"/>
              <w:ind w:firstLine="624" w:left="0" w:right="0"/>
              <w:jc w:val="both"/>
              <w:rPr>
                <w:rFonts w:ascii="Times New Roman" w:hAnsi="Times New Roman"/>
                <w:sz w:val="20"/>
                <w:szCs w:val="20"/>
              </w:rPr>
            </w:pPr>
            <w:r>
              <w:rPr>
                <w:rFonts w:ascii="Times New Roman" w:hAnsi="Times New Roman"/>
                <w:kern w:val="0"/>
                <w:sz w:val="20"/>
                <w:szCs w:val="20"/>
              </w:rPr>
              <w:t>Гражданин РФ Ситникова Светлана Юрьевна (Колыванова Светлана Юрьевна) (17.07.1969г.р., место рожд: гор.Казань, адрес рег: 420094, Татарстан Респ, Казань г, Гагарина ул, дом № 2/91, квартира 26, СНИЛС05191237743, ИНН 165502398018, паспорт РФ серия 9214, номер 776243, выдан 19.08.2014, кем выдан Отделом УФМС России по Республике Татарстан в Вахитовском районе г. Казани, код подразделения 160-003),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05.09.2023г. по делу №А65-17239/2023, именуемый в дальнейшем «Продавец», с одной стороны, и</w:t>
            </w:r>
          </w:p>
        </w:tc>
      </w:tr>
      <w:tr>
        <w:trPr>
          <w:trHeight w:val="495"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7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  Предмет договора</w:t>
            </w:r>
          </w:p>
        </w:tc>
      </w:tr>
      <w:tr>
        <w:trPr>
          <w:trHeight w:val="975"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06.06.2024г. по продаже имущества Ситниковой Светланы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77" w:type="dxa"/>
            <w:gridSpan w:val="11"/>
            <w:tcBorders/>
            <w:shd w:color="FFFFFF" w:fill="FFFFFF"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r>
              <w:rPr>
                <w:rFonts w:ascii="Times New Roman" w:hAnsi="Times New Roman"/>
                <w:sz w:val="20"/>
                <w:szCs w:val="20"/>
              </w:rPr>
              <w:t>3/10 доля в праве на жилое помещение, площадь: 53,3м², адрес (местонахождение): 420043, Татарстан Респ, Казань г, Вишневского ул, дом № 61, квартира 81, кадастровый номер: 16:50:011204:502.</w:t>
            </w:r>
          </w:p>
        </w:tc>
      </w:tr>
      <w:tr>
        <w:trPr>
          <w:trHeight w:val="300"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7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2. Обязанности Сторон</w:t>
            </w:r>
          </w:p>
        </w:tc>
      </w:tr>
      <w:tr>
        <w:trPr>
          <w:trHeight w:val="300"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77"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7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3. Цена и порядок расчетов</w:t>
            </w:r>
          </w:p>
        </w:tc>
      </w:tr>
      <w:tr>
        <w:trPr>
          <w:trHeight w:val="300" w:hRule="exact"/>
        </w:trPr>
        <w:tc>
          <w:tcPr>
            <w:tcW w:w="10377"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06.06.2024г. на сайте https://lot-online.ru/, и указана в Протоколе  от 06.06.2024г. является окончательной и изменению не подлежит.</w:t>
            </w:r>
          </w:p>
        </w:tc>
      </w:tr>
      <w:tr>
        <w:trPr>
          <w:trHeight w:val="525"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77"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Ситниковой Светланы Юрьевны 40817810650171056510</w:t>
            </w:r>
          </w:p>
        </w:tc>
      </w:tr>
      <w:tr>
        <w:trPr>
          <w:trHeight w:val="300" w:hRule="exact"/>
        </w:trPr>
        <w:tc>
          <w:tcPr>
            <w:tcW w:w="10377" w:type="dxa"/>
            <w:gridSpan w:val="11"/>
            <w:tcBorders/>
            <w:shd w:color="FFFFFF" w:fill="auto" w:val="clear"/>
            <w:vAlign w:val="bottom"/>
          </w:tcPr>
          <w:p>
            <w:pPr>
              <w:pStyle w:val="Normal"/>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7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7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7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6. Ответственность Сторон</w:t>
            </w:r>
          </w:p>
        </w:tc>
      </w:tr>
      <w:tr>
        <w:trPr>
          <w:trHeight w:val="510"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7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7. Порядок разрешения споров</w:t>
            </w:r>
          </w:p>
        </w:tc>
      </w:tr>
      <w:tr>
        <w:trPr>
          <w:trHeight w:val="540"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7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7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9. Заключительные положения</w:t>
            </w:r>
          </w:p>
        </w:tc>
      </w:tr>
      <w:tr>
        <w:trPr>
          <w:trHeight w:val="585"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77" w:type="dxa"/>
            <w:gridSpan w:val="11"/>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77" w:type="dxa"/>
            <w:gridSpan w:val="11"/>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10. Реквизиты и подписи Сторон</w:t>
            </w:r>
          </w:p>
        </w:tc>
      </w:tr>
      <w:tr>
        <w:trPr>
          <w:trHeight w:val="285" w:hRule="exact"/>
        </w:trPr>
        <w:tc>
          <w:tcPr>
            <w:tcW w:w="4710"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Продавец:</w:t>
            </w:r>
          </w:p>
        </w:tc>
        <w:tc>
          <w:tcPr>
            <w:tcW w:w="5667"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Покупатель:</w:t>
            </w:r>
          </w:p>
        </w:tc>
      </w:tr>
      <w:tr>
        <w:trPr>
          <w:trHeight w:val="285" w:hRule="exact"/>
        </w:trPr>
        <w:tc>
          <w:tcPr>
            <w:tcW w:w="4710" w:type="dxa"/>
            <w:gridSpan w:val="5"/>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c>
          <w:tcPr>
            <w:tcW w:w="5667" w:type="dxa"/>
            <w:gridSpan w:val="6"/>
            <w:tcBorders/>
            <w:shd w:color="FFFFFF" w:fill="auto" w:val="clear"/>
            <w:vAlign w:val="bottom"/>
          </w:tcPr>
          <w:p>
            <w:pPr>
              <w:pStyle w:val="Normal"/>
              <w:suppressAutoHyphens w:val="true"/>
              <w:bidi w:val="0"/>
              <w:spacing w:lineRule="auto" w:line="240" w:before="0" w:after="0"/>
              <w:jc w:val="center"/>
              <w:rPr>
                <w:rFonts w:ascii="Times New Roman" w:hAnsi="Times New Roman"/>
                <w:b/>
                <w:sz w:val="20"/>
                <w:szCs w:val="20"/>
              </w:rPr>
            </w:pPr>
            <w:r>
              <w:rPr>
                <w:rFonts w:ascii="Times New Roman" w:hAnsi="Times New Roman"/>
                <w:b/>
                <w:kern w:val="0"/>
                <w:sz w:val="20"/>
                <w:szCs w:val="20"/>
              </w:rPr>
              <w:t>Гражданин РФ</w:t>
            </w:r>
          </w:p>
        </w:tc>
      </w:tr>
      <w:tr>
        <w:trPr>
          <w:trHeight w:val="2175" w:hRule="exact"/>
        </w:trPr>
        <w:tc>
          <w:tcPr>
            <w:tcW w:w="4710"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Ситникова Светлана Юрьевна (Колыванова Светлана Юрьевна) (17.07.1969г.р., место рожд: гор.Казань, адрес рег: 420094, Татарстан Респ, Казань г, Гагарина ул, дом № 2/91, квартира 26, СНИЛС05191237743, ИНН 165502398018, паспорт РФ серия 9214, номер 776243, выдан 19.08.2014, кем выдан Отделом УФМС России по Республике Татарстан в Вахитовском районе г. Казани, код подразделения 160-003)</w:t>
            </w:r>
          </w:p>
        </w:tc>
        <w:tc>
          <w:tcPr>
            <w:tcW w:w="5667" w:type="dxa"/>
            <w:gridSpan w:val="6"/>
            <w:vMerge w:val="restart"/>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2175" w:hRule="exact"/>
        </w:trPr>
        <w:tc>
          <w:tcPr>
            <w:tcW w:w="4710"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Ситниковой Светланы Юрьевны 40817810650171056510</w:t>
            </w:r>
          </w:p>
        </w:tc>
        <w:tc>
          <w:tcPr>
            <w:tcW w:w="5667"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30"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7"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930"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7" w:type="dxa"/>
            <w:gridSpan w:val="6"/>
            <w:vMerge w:val="continue"/>
            <w:tcBorders/>
            <w:shd w:color="FFFFFF" w:fill="auto" w:val="clear"/>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r>
        <w:trPr>
          <w:trHeight w:val="300" w:hRule="exact"/>
        </w:trPr>
        <w:tc>
          <w:tcPr>
            <w:tcW w:w="4710"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Финансовый управляющий</w:t>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2"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10" w:type="dxa"/>
            <w:gridSpan w:val="5"/>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Ситниковой Светланы Юрьевны</w:t>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2"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30" w:type="dxa"/>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2" w:type="dxa"/>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615" w:hRule="exact"/>
        </w:trPr>
        <w:tc>
          <w:tcPr>
            <w:tcW w:w="2820" w:type="dxa"/>
            <w:gridSpan w:val="3"/>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kern w:val="0"/>
                <w:sz w:val="20"/>
                <w:szCs w:val="20"/>
              </w:rPr>
              <w:t>Мякишкова Юлия Николаевна</w:t>
            </w:r>
          </w:p>
        </w:tc>
        <w:tc>
          <w:tcPr>
            <w:tcW w:w="1890" w:type="dxa"/>
            <w:gridSpan w:val="2"/>
            <w:tcBorders/>
            <w:shd w:color="FFFFFF" w:fill="auto" w:val="clear"/>
            <w:vAlign w:val="bottom"/>
          </w:tcPr>
          <w:p>
            <w:pPr>
              <w:pStyle w:val="Normal"/>
              <w:suppressAutoHyphens w:val="tru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7" w:type="dxa"/>
            <w:gridSpan w:val="6"/>
            <w:tcBorders/>
            <w:shd w:color="FFFFFF" w:fill="auto" w:val="clear"/>
            <w:vAlign w:val="bottom"/>
          </w:tcPr>
          <w:p>
            <w:pPr>
              <w:pStyle w:val="Normal"/>
              <w:suppressAutoHyphens w:val="true"/>
              <w:bidi w:val="0"/>
              <w:spacing w:lineRule="auto" w:line="240" w:before="0" w:after="0"/>
              <w:jc w:val="both"/>
              <w:rPr>
                <w:rFonts w:ascii="Times New Roman" w:hAnsi="Times New Roman"/>
                <w:b/>
                <w:sz w:val="20"/>
                <w:szCs w:val="20"/>
              </w:rPr>
            </w:pPr>
            <w:r>
              <w:rPr>
                <w:rFonts w:ascii="Times New Roman" w:hAnsi="Times New Roman"/>
                <w:b/>
                <w:sz w:val="20"/>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1097</Words>
  <Characters>7845</Characters>
  <CharactersWithSpaces>9375</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2024-04-24T09:59:49Z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