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123914">
            <w:pPr>
              <w:snapToGrid w:val="0"/>
              <w:jc w:val="right"/>
              <w:rPr>
                <w:rFonts w:ascii="Cambria" w:hAnsi="Cambria"/>
              </w:rPr>
            </w:pPr>
            <w:r w:rsidRPr="00674F88">
              <w:rPr>
                <w:rFonts w:ascii="Cambria" w:hAnsi="Cambria"/>
              </w:rPr>
              <w:t>«   » _____________ 202</w:t>
            </w:r>
            <w:r w:rsidR="00123914">
              <w:rPr>
                <w:rFonts w:ascii="Cambria" w:hAnsi="Cambria"/>
              </w:rPr>
              <w:t>4</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64D4C" w:rsidRPr="00564D4C" w:rsidRDefault="00123914" w:rsidP="00564D4C">
      <w:pPr>
        <w:ind w:firstLine="567"/>
        <w:jc w:val="both"/>
        <w:rPr>
          <w:rFonts w:ascii="Cambria" w:hAnsi="Cambria"/>
          <w:bCs/>
          <w:lang w:eastAsia="en-US"/>
        </w:rPr>
      </w:pPr>
      <w:r w:rsidRPr="00E202F3">
        <w:rPr>
          <w:rFonts w:ascii="Cambria" w:hAnsi="Cambria"/>
        </w:rPr>
        <w:t>Лот №30 – Абраменко Николай Борисович, 02.07.1987г.р., г. Апшеронский р-н, с. Черниговское</w:t>
      </w:r>
      <w:r>
        <w:rPr>
          <w:rFonts w:ascii="Cambria" w:hAnsi="Cambria"/>
        </w:rPr>
        <w:t xml:space="preserve"> 2</w:t>
      </w:r>
      <w:r w:rsidR="006A3F22">
        <w:rPr>
          <w:rFonts w:ascii="Cambria" w:hAnsi="Cambria"/>
        </w:rPr>
        <w:t>34</w:t>
      </w:r>
      <w:r>
        <w:rPr>
          <w:rFonts w:ascii="Cambria" w:hAnsi="Cambria"/>
        </w:rPr>
        <w:t> 000,00руб. (остаток задолженности на дату торгов)</w:t>
      </w:r>
      <w:r w:rsidRPr="00123914">
        <w:rPr>
          <w:rFonts w:ascii="Cambria" w:hAnsi="Cambria"/>
          <w:bCs/>
          <w:lang w:eastAsia="en-US"/>
        </w:rPr>
        <w:t xml:space="preserve"> – начальная цена </w:t>
      </w:r>
      <w:r w:rsidR="006A3F22">
        <w:rPr>
          <w:rFonts w:ascii="Cambria" w:hAnsi="Cambria"/>
          <w:bCs/>
          <w:lang w:eastAsia="en-US"/>
        </w:rPr>
        <w:t>264 600,00</w:t>
      </w:r>
      <w:r w:rsidRPr="00123914">
        <w:rPr>
          <w:rFonts w:ascii="Cambria" w:hAnsi="Cambria"/>
          <w:bCs/>
          <w:lang w:eastAsia="en-US"/>
        </w:rPr>
        <w:t xml:space="preserve"> 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564D4C">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6A3F22">
        <w:rPr>
          <w:rFonts w:ascii="Cambria" w:hAnsi="Cambria"/>
          <w:highlight w:val="yellow"/>
        </w:rPr>
        <w:t>27.07.2024</w:t>
      </w:r>
      <w:bookmarkStart w:id="0" w:name="_GoBack"/>
      <w:bookmarkEnd w:id="0"/>
      <w:r w:rsidR="00E7691D" w:rsidRPr="00674F88">
        <w:rPr>
          <w:rFonts w:ascii="Cambria" w:hAnsi="Cambria"/>
          <w:highlight w:val="yellow"/>
        </w:rPr>
        <w:t xml:space="preserve">г. </w:t>
      </w:r>
      <w:r w:rsidR="006A3F22">
        <w:rPr>
          <w:rFonts w:ascii="Cambria" w:hAnsi="Cambria"/>
        </w:rPr>
        <w:t>10.00</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lastRenderedPageBreak/>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lastRenderedPageBreak/>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94445A">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3914"/>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C0F2A"/>
    <w:rsid w:val="005D396D"/>
    <w:rsid w:val="005D55FD"/>
    <w:rsid w:val="005F72D5"/>
    <w:rsid w:val="00643CA4"/>
    <w:rsid w:val="006662CF"/>
    <w:rsid w:val="00674F88"/>
    <w:rsid w:val="006966C2"/>
    <w:rsid w:val="006A3F2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28AA79"/>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1w4M1SxwaXgpJ3drtN1xGtHtWaEhyNsc1FhOjQyr5lA=</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pcVF1gMnOCPe0rM+WOExpLEMprS48MZg1cMeg6x/hjc=</DigestValue>
    </Reference>
  </SignedInfo>
  <SignatureValue>hEM2/kKYGND1Nr0XM01D630DUhP2CxGYgI/rJKxH9DhYAqBsfVcU6gaj95YkixTonQNF/KVxaRys
1Nl2N8TnnA==</SignatureValue>
  <KeyInfo>
    <X509Data>
      <X509Certificate>MIIILDCCB9mgAwIBAgIKE7cn4wABAAXkdT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NDI3MCDQvtGCIDEzLjA3LjIwMjI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G0UO7HGLM5WWjPJSEQlucYkLZTTAKBggqhQMHAQEDAgNBAHL33k1E0dutaCUeh8/w7A0weOU+NK5Y1Gaw+224H/mcBan1qhSX1m4fVAIfRl5QyvGuAgBmK30vaBbxacTwpJ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dl6pRUDEoTkZQw4UGDawnyHR1WNDev3R0JfjWxkizdY=</DigestValue>
      </Reference>
      <Reference URI="/word/fontTable.xml?ContentType=application/vnd.openxmlformats-officedocument.wordprocessingml.fontTable+xml">
        <DigestMethod Algorithm="urn:ietf:params:xml:ns:cpxmlsec:algorithms:gostr34112012-256"/>
        <DigestValue>klBtQq2rwiVSpKUCfM0BnBNzdyxNzm5yxklG2BEV4OM=</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cz5T4IroKZEGlXQ5CWuu5n0K5fFt+D2q77EHe8TxD6Y=</DigestValue>
      </Reference>
      <Reference URI="/word/styles.xml?ContentType=application/vnd.openxmlformats-officedocument.wordprocessingml.styles+xml">
        <DigestMethod Algorithm="urn:ietf:params:xml:ns:cpxmlsec:algorithms:gostr34112012-256"/>
        <DigestValue>sNdC6AVULXzK9ZcBcXuwVtACgiCnA5n2JRRbR4wdW6k=</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2024-06-14T10:52:18Z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2024-06-14T10:52:18Z</xd:SigningTime>
          <xd:SigningCertificate>
            <xd:Cert>
              <xd:CertDigest>
                <DigestMethod Algorithm="urn:ietf:params:xml:ns:cpxmlsec:algorithms:gostr34112012-256"/>
                <DigestValue>1nCOugV2tVPrIRKNE5WDswGdojDY3ADCIe5g2uZq9H4=</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93103591481003594867829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F630-EF31-46A2-8E12-BDA99609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3</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36</cp:revision>
  <cp:lastPrinted>2010-09-29T15:55:00Z</cp:lastPrinted>
  <dcterms:created xsi:type="dcterms:W3CDTF">2015-07-14T07:06:00Z</dcterms:created>
  <dcterms:modified xsi:type="dcterms:W3CDTF">2024-06-14T10:48:00Z</dcterms:modified>
</cp:coreProperties>
</file>