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>две</w:t>
      </w:r>
      <w:proofErr w:type="gramEnd"/>
      <w:r w:rsidR="00933AC8" w:rsidRPr="004309DB">
        <w:rPr>
          <w:b/>
          <w:sz w:val="22"/>
          <w:szCs w:val="22"/>
        </w:rPr>
        <w:t xml:space="preserve"> тысячи </w:t>
      </w:r>
      <w:r w:rsidR="00DA3EE1">
        <w:rPr>
          <w:b/>
          <w:sz w:val="22"/>
          <w:szCs w:val="22"/>
        </w:rPr>
        <w:t>д</w:t>
      </w:r>
      <w:r w:rsidR="0052142A">
        <w:rPr>
          <w:b/>
          <w:sz w:val="22"/>
          <w:szCs w:val="22"/>
        </w:rPr>
        <w:t xml:space="preserve">вадцать </w:t>
      </w:r>
      <w:r w:rsidR="00DE6879">
        <w:rPr>
          <w:b/>
          <w:sz w:val="22"/>
          <w:szCs w:val="22"/>
        </w:rPr>
        <w:t>четвертого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DE6879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bookmarkStart w:id="0" w:name="OLE_LINK141"/>
      <w:r>
        <w:rPr>
          <w:b/>
          <w:sz w:val="24"/>
          <w:szCs w:val="24"/>
        </w:rPr>
        <w:t>Конкурсный</w:t>
      </w:r>
      <w:r w:rsidR="0052142A" w:rsidRPr="00FD6AA5">
        <w:rPr>
          <w:b/>
          <w:sz w:val="24"/>
          <w:szCs w:val="24"/>
        </w:rPr>
        <w:t xml:space="preserve"> управляющий </w:t>
      </w:r>
      <w:proofErr w:type="spellStart"/>
      <w:r w:rsidR="0052142A" w:rsidRPr="00FD6AA5">
        <w:rPr>
          <w:b/>
          <w:sz w:val="24"/>
          <w:szCs w:val="24"/>
        </w:rPr>
        <w:t>Маланин</w:t>
      </w:r>
      <w:proofErr w:type="spellEnd"/>
      <w:r w:rsidR="0052142A" w:rsidRPr="00FD6AA5">
        <w:rPr>
          <w:b/>
          <w:sz w:val="24"/>
          <w:szCs w:val="24"/>
        </w:rPr>
        <w:t xml:space="preserve"> Роман Сергеевич </w:t>
      </w:r>
      <w:r w:rsidR="0052142A"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Pr="00DE6879">
        <w:rPr>
          <w:sz w:val="24"/>
          <w:szCs w:val="24"/>
        </w:rPr>
        <w:t>определения Арбитражного суда города Санкт-Петербурга и Ленинградской области от 16.11.2023 по делу № А56-111293/2022</w:t>
      </w:r>
      <w:r w:rsidR="0052142A" w:rsidRPr="00FD6AA5">
        <w:rPr>
          <w:sz w:val="24"/>
          <w:szCs w:val="24"/>
        </w:rPr>
        <w:t xml:space="preserve"> от имени </w:t>
      </w:r>
      <w:r w:rsidRPr="00DE6879">
        <w:rPr>
          <w:sz w:val="24"/>
          <w:szCs w:val="24"/>
        </w:rPr>
        <w:t>ООО «Научно-производственное объединение «Флагман» (ИНН 7811146081, ОГРН 1037825062516, адрес: 192012, Санкт-Петербург, ул. Бабушкина, д. 123, корп. 8, пом. 1-Н, оф. 1)</w:t>
      </w:r>
      <w:r w:rsidR="0052142A" w:rsidRPr="00FD6AA5">
        <w:rPr>
          <w:sz w:val="24"/>
          <w:szCs w:val="24"/>
        </w:rPr>
        <w:t>, признанного несостоятельным (банкротом),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647169" w:rsidRPr="00DA3EE1">
        <w:rPr>
          <w:rStyle w:val="paragraph"/>
          <w:sz w:val="24"/>
          <w:szCs w:val="24"/>
        </w:rPr>
        <w:t>,</w:t>
      </w:r>
      <w:r w:rsidR="00647169" w:rsidRPr="00C8363A">
        <w:rPr>
          <w:rStyle w:val="paragraph"/>
          <w:sz w:val="24"/>
          <w:szCs w:val="24"/>
        </w:rPr>
        <w:t xml:space="preserve">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 w:rsidR="00DA3EE1">
        <w:rPr>
          <w:rStyle w:val="paragraph"/>
          <w:sz w:val="24"/>
          <w:szCs w:val="24"/>
        </w:rPr>
        <w:t xml:space="preserve"> </w:t>
      </w:r>
      <w:r w:rsidR="00DA3EE1" w:rsidRPr="00DA3EE1">
        <w:rPr>
          <w:rStyle w:val="paragraph"/>
          <w:b/>
          <w:sz w:val="24"/>
          <w:szCs w:val="24"/>
        </w:rPr>
        <w:t>«Цессионарий»</w:t>
      </w:r>
      <w:r w:rsidRPr="00927726">
        <w:rPr>
          <w:rStyle w:val="paragraph"/>
          <w:sz w:val="24"/>
          <w:szCs w:val="24"/>
        </w:rPr>
        <w:t>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bookmarkEnd w:id="0"/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="00B26CC5" w:rsidRPr="00927726">
        <w:rPr>
          <w:sz w:val="24"/>
          <w:szCs w:val="24"/>
        </w:rPr>
        <w:t>:</w:t>
      </w:r>
    </w:p>
    <w:p w:rsidR="00DA3EE1" w:rsidRDefault="00DA3EE1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533FC4" w:rsidRPr="00533FC4">
        <w:rPr>
          <w:lang w:eastAsia="fa-IR" w:bidi="fa-IR"/>
        </w:rPr>
        <w:t>2</w:t>
      </w:r>
      <w:r w:rsidR="00DE6879">
        <w:rPr>
          <w:lang w:eastAsia="fa-IR" w:bidi="fa-IR"/>
        </w:rPr>
        <w:t>4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533FC4" w:rsidRPr="00533FC4">
        <w:t>2</w:t>
      </w:r>
      <w:r w:rsidR="00DE6879">
        <w:t>4</w:t>
      </w:r>
      <w:r w:rsidR="001E38BF">
        <w:t xml:space="preserve"> г. </w:t>
      </w:r>
      <w:r w:rsidR="00647169" w:rsidRPr="00927726">
        <w:t xml:space="preserve">о результатах проведения </w:t>
      </w:r>
      <w:r w:rsidR="00DE6879" w:rsidRPr="00F57730">
        <w:rPr>
          <w:rFonts w:hint="eastAsia"/>
        </w:rPr>
        <w:t>открытых</w:t>
      </w:r>
      <w:r w:rsidR="00DE6879" w:rsidRPr="00F57730">
        <w:t xml:space="preserve"> </w:t>
      </w:r>
      <w:r w:rsidR="00DE6879" w:rsidRPr="00F57730">
        <w:rPr>
          <w:rFonts w:hint="eastAsia"/>
        </w:rPr>
        <w:t>по</w:t>
      </w:r>
      <w:r w:rsidR="00DE6879" w:rsidRPr="00F57730">
        <w:t xml:space="preserve"> </w:t>
      </w:r>
      <w:r w:rsidR="00DE6879" w:rsidRPr="00F57730">
        <w:rPr>
          <w:rFonts w:hint="eastAsia"/>
        </w:rPr>
        <w:t>составу</w:t>
      </w:r>
      <w:r w:rsidR="00DE6879" w:rsidRPr="00F57730">
        <w:t xml:space="preserve"> </w:t>
      </w:r>
      <w:r w:rsidR="00DE6879" w:rsidRPr="00F57730">
        <w:rPr>
          <w:rFonts w:hint="eastAsia"/>
        </w:rPr>
        <w:t>участников</w:t>
      </w:r>
      <w:r w:rsidR="00DE6879" w:rsidRPr="00F57730">
        <w:t xml:space="preserve"> </w:t>
      </w:r>
      <w:r w:rsidR="00DE6879" w:rsidRPr="00F57730">
        <w:rPr>
          <w:rFonts w:hint="eastAsia"/>
        </w:rPr>
        <w:t>торгах</w:t>
      </w:r>
      <w:r w:rsidR="00DE6879" w:rsidRPr="00F57730">
        <w:t xml:space="preserve"> </w:t>
      </w:r>
      <w:r w:rsidR="00DE6879">
        <w:rPr>
          <w:rFonts w:hint="eastAsia"/>
        </w:rPr>
        <w:t>посредством публичного предложения с закрытой</w:t>
      </w:r>
      <w:r w:rsidR="00DE6879" w:rsidRPr="00F57730">
        <w:t xml:space="preserve"> </w:t>
      </w:r>
      <w:r w:rsidR="00DE6879" w:rsidRPr="00F57730">
        <w:rPr>
          <w:rFonts w:hint="eastAsia"/>
        </w:rPr>
        <w:t>формой</w:t>
      </w:r>
      <w:r w:rsidR="00DE6879" w:rsidRPr="00F57730">
        <w:t xml:space="preserve"> </w:t>
      </w:r>
      <w:r w:rsidR="00DE6879" w:rsidRPr="00F57730">
        <w:rPr>
          <w:rFonts w:hint="eastAsia"/>
        </w:rPr>
        <w:t>подачи</w:t>
      </w:r>
      <w:r w:rsidR="00DE6879" w:rsidRPr="00F57730">
        <w:t xml:space="preserve"> </w:t>
      </w:r>
      <w:r w:rsidR="00DE6879" w:rsidRPr="00F57730">
        <w:rPr>
          <w:rFonts w:hint="eastAsia"/>
        </w:rPr>
        <w:t>предложения</w:t>
      </w:r>
      <w:r w:rsidR="00DE6879" w:rsidRPr="00F57730">
        <w:t xml:space="preserve"> </w:t>
      </w:r>
      <w:r w:rsidR="00DE6879" w:rsidRPr="00F57730">
        <w:rPr>
          <w:rFonts w:hint="eastAsia"/>
        </w:rPr>
        <w:t>о</w:t>
      </w:r>
      <w:r w:rsidR="00DE6879" w:rsidRPr="00F57730">
        <w:t xml:space="preserve"> </w:t>
      </w:r>
      <w:r w:rsidR="00DE6879" w:rsidRPr="00F57730">
        <w:rPr>
          <w:rFonts w:hint="eastAsia"/>
        </w:rPr>
        <w:t>цене</w:t>
      </w:r>
      <w:r w:rsidR="00647169" w:rsidRPr="00927726">
        <w:t xml:space="preserve"> </w:t>
      </w:r>
      <w:r w:rsidR="00647169" w:rsidRPr="00927726">
        <w:t xml:space="preserve">по продаже </w:t>
      </w:r>
      <w:r w:rsidR="00647169" w:rsidRPr="00927726">
        <w:rPr>
          <w:rStyle w:val="paragraph"/>
        </w:rPr>
        <w:t xml:space="preserve">имущества </w:t>
      </w:r>
      <w:r w:rsidR="00DE6879" w:rsidRPr="00DE6879">
        <w:t>ООО «Научно-производственное объединение «Флагман» (ИНН 7811146081, ОГРН 1037825062516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 xml:space="preserve">, а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</w:t>
      </w:r>
      <w:bookmarkStart w:id="1" w:name="OLE_LINK119"/>
      <w:bookmarkStart w:id="2" w:name="OLE_LINK120"/>
      <w:bookmarkStart w:id="3" w:name="OLE_LINK121"/>
      <w:bookmarkStart w:id="4" w:name="OLE_LINK122"/>
      <w:bookmarkStart w:id="5" w:name="OLE_LINK123"/>
      <w:bookmarkStart w:id="6" w:name="OLE_LINK124"/>
      <w:bookmarkStart w:id="7" w:name="OLE_LINK125"/>
      <w:bookmarkStart w:id="8" w:name="OLE_LINK126"/>
      <w:r w:rsidR="00DA3EE1">
        <w:t>уступки</w:t>
      </w:r>
      <w:r w:rsidR="007429F6" w:rsidRPr="00927726">
        <w:t xml:space="preserve"> </w:t>
      </w:r>
      <w:bookmarkStart w:id="9" w:name="OLE_LINK113"/>
      <w:bookmarkStart w:id="10" w:name="OLE_LINK114"/>
      <w:bookmarkStart w:id="11" w:name="OLE_LINK115"/>
      <w:r w:rsidR="005E4AD2">
        <w:t>Имуществ</w:t>
      </w:r>
      <w:r w:rsidR="00DA3EE1">
        <w:t>енных прав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7429F6" w:rsidRPr="00927726">
        <w:t xml:space="preserve"> </w:t>
      </w:r>
      <w:bookmarkEnd w:id="9"/>
      <w:bookmarkEnd w:id="10"/>
      <w:bookmarkEnd w:id="11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533FC4" w:rsidRPr="00533FC4">
        <w:t>2</w:t>
      </w:r>
      <w:r w:rsidR="00DE6879">
        <w:t>4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533FC4" w:rsidRPr="00533FC4">
        <w:t>2</w:t>
      </w:r>
      <w:r w:rsidR="00DE6879">
        <w:t>4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2142A" w:rsidP="00DE6879">
      <w:pPr>
        <w:ind w:firstLine="540"/>
        <w:jc w:val="both"/>
      </w:pPr>
      <w:r w:rsidRPr="00FB5674">
        <w:rPr>
          <w:color w:val="000000"/>
        </w:rPr>
        <w:lastRenderedPageBreak/>
        <w:t xml:space="preserve">Получатель - </w:t>
      </w:r>
      <w:r w:rsidR="00DE6879" w:rsidRPr="00DE6879">
        <w:t>ООО «Научно-производственное объединение «Флагман»</w:t>
      </w:r>
      <w:r w:rsidR="00DE6879">
        <w:t>,</w:t>
      </w:r>
      <w:r w:rsidR="00DE6879" w:rsidRPr="00DE6879">
        <w:t xml:space="preserve"> ИНН 7811146081, </w:t>
      </w:r>
      <w:r w:rsidR="00DE6879">
        <w:t xml:space="preserve">КПП </w:t>
      </w:r>
      <w:r w:rsidR="00DE6879">
        <w:rPr>
          <w:rFonts w:eastAsiaTheme="minorHAnsi"/>
          <w:lang w:eastAsia="en-US"/>
        </w:rPr>
        <w:t>781101001</w:t>
      </w:r>
      <w:r w:rsidR="00DE6879">
        <w:rPr>
          <w:rFonts w:eastAsiaTheme="minorHAnsi"/>
          <w:lang w:eastAsia="en-US"/>
        </w:rPr>
        <w:t>, р</w:t>
      </w:r>
      <w:r w:rsidR="00DE6879" w:rsidRPr="005A78D4">
        <w:rPr>
          <w:rFonts w:eastAsiaTheme="minorHAnsi"/>
          <w:lang w:eastAsia="en-US"/>
        </w:rPr>
        <w:t>асчетный счет № 40702810</w:t>
      </w:r>
      <w:r w:rsidR="00DE6879">
        <w:rPr>
          <w:rFonts w:eastAsiaTheme="minorHAnsi"/>
          <w:lang w:eastAsia="en-US"/>
        </w:rPr>
        <w:t>012010631720</w:t>
      </w:r>
      <w:r w:rsidR="00DE6879" w:rsidRPr="005A78D4">
        <w:rPr>
          <w:rFonts w:eastAsiaTheme="minorHAnsi"/>
          <w:lang w:eastAsia="en-US"/>
        </w:rPr>
        <w:t xml:space="preserve"> в Филиале «</w:t>
      </w:r>
      <w:r w:rsidR="00DE6879">
        <w:rPr>
          <w:rFonts w:eastAsiaTheme="minorHAnsi"/>
          <w:lang w:eastAsia="en-US"/>
        </w:rPr>
        <w:t>Корпоративный</w:t>
      </w:r>
      <w:r w:rsidR="00DE6879" w:rsidRPr="005A78D4">
        <w:rPr>
          <w:rFonts w:eastAsiaTheme="minorHAnsi"/>
          <w:lang w:eastAsia="en-US"/>
        </w:rPr>
        <w:t xml:space="preserve">» </w:t>
      </w:r>
      <w:r w:rsidR="00DE6879">
        <w:rPr>
          <w:rFonts w:eastAsiaTheme="minorHAnsi"/>
          <w:lang w:eastAsia="en-US"/>
        </w:rPr>
        <w:t>П</w:t>
      </w:r>
      <w:r w:rsidR="00DE6879" w:rsidRPr="005A78D4">
        <w:rPr>
          <w:rFonts w:eastAsiaTheme="minorHAnsi"/>
          <w:lang w:eastAsia="en-US"/>
        </w:rPr>
        <w:t>АО «</w:t>
      </w:r>
      <w:proofErr w:type="spellStart"/>
      <w:r w:rsidR="00DE6879">
        <w:rPr>
          <w:rFonts w:eastAsiaTheme="minorHAnsi"/>
          <w:lang w:eastAsia="en-US"/>
        </w:rPr>
        <w:t>Совкомбанк</w:t>
      </w:r>
      <w:proofErr w:type="spellEnd"/>
      <w:r w:rsidR="00DE6879" w:rsidRPr="005A78D4">
        <w:rPr>
          <w:rFonts w:eastAsiaTheme="minorHAnsi"/>
          <w:lang w:eastAsia="en-US"/>
        </w:rPr>
        <w:t>», к/</w:t>
      </w:r>
      <w:proofErr w:type="spellStart"/>
      <w:r w:rsidR="00DE6879" w:rsidRPr="005A78D4">
        <w:rPr>
          <w:rFonts w:eastAsiaTheme="minorHAnsi"/>
          <w:lang w:eastAsia="en-US"/>
        </w:rPr>
        <w:t>сч</w:t>
      </w:r>
      <w:proofErr w:type="spellEnd"/>
      <w:r w:rsidR="00DE6879" w:rsidRPr="005A78D4">
        <w:rPr>
          <w:rFonts w:eastAsiaTheme="minorHAnsi"/>
          <w:lang w:eastAsia="en-US"/>
        </w:rPr>
        <w:t xml:space="preserve"> № </w:t>
      </w:r>
      <w:proofErr w:type="gramStart"/>
      <w:r w:rsidR="00DE6879" w:rsidRPr="005A78D4">
        <w:rPr>
          <w:rFonts w:eastAsiaTheme="minorHAnsi"/>
          <w:lang w:eastAsia="en-US"/>
        </w:rPr>
        <w:t>301018</w:t>
      </w:r>
      <w:r w:rsidR="00DE6879">
        <w:rPr>
          <w:rFonts w:eastAsiaTheme="minorHAnsi"/>
          <w:lang w:eastAsia="en-US"/>
        </w:rPr>
        <w:t>10445250000360</w:t>
      </w:r>
      <w:r w:rsidR="00DE6879">
        <w:rPr>
          <w:rFonts w:eastAsiaTheme="minorHAnsi"/>
          <w:lang w:eastAsia="en-US"/>
        </w:rPr>
        <w:t xml:space="preserve">, </w:t>
      </w:r>
      <w:r w:rsidR="00DE6879" w:rsidRPr="005A78D4">
        <w:rPr>
          <w:rFonts w:eastAsiaTheme="minorHAnsi"/>
          <w:lang w:eastAsia="en-US"/>
        </w:rPr>
        <w:t xml:space="preserve"> БИК</w:t>
      </w:r>
      <w:proofErr w:type="gramEnd"/>
      <w:r w:rsidR="00DE6879" w:rsidRPr="005A78D4">
        <w:rPr>
          <w:rFonts w:eastAsiaTheme="minorHAnsi"/>
          <w:lang w:eastAsia="en-US"/>
        </w:rPr>
        <w:t xml:space="preserve"> 044</w:t>
      </w:r>
      <w:r w:rsidR="00DE6879">
        <w:rPr>
          <w:rFonts w:eastAsiaTheme="minorHAnsi"/>
          <w:lang w:eastAsia="en-US"/>
        </w:rPr>
        <w:t>525360</w:t>
      </w:r>
      <w:r w:rsidR="00533FC4" w:rsidRPr="00533FC4">
        <w:rPr>
          <w:rStyle w:val="paragraph"/>
        </w:rPr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2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3" w:name="OLE_LINK145"/>
      <w:bookmarkStart w:id="14" w:name="OLE_LINK146"/>
      <w:bookmarkStart w:id="15" w:name="OLE_LINK147"/>
      <w:r>
        <w:t>пункте</w:t>
      </w:r>
      <w:bookmarkEnd w:id="13"/>
      <w:bookmarkEnd w:id="14"/>
      <w:bookmarkEnd w:id="15"/>
      <w:r w:rsidRPr="00F54C13">
        <w:t xml:space="preserve"> 1 Договора</w:t>
      </w:r>
      <w:bookmarkEnd w:id="12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случае,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 xml:space="preserve">№ </w:t>
      </w:r>
      <w:r w:rsidR="0052142A">
        <w:rPr>
          <w:rStyle w:val="paragraph"/>
        </w:rPr>
        <w:t>А56-</w:t>
      </w:r>
      <w:r w:rsidR="00DE6879">
        <w:rPr>
          <w:rStyle w:val="paragraph"/>
        </w:rPr>
        <w:t>111293</w:t>
      </w:r>
      <w:r w:rsidR="0052142A">
        <w:rPr>
          <w:rStyle w:val="paragraph"/>
        </w:rPr>
        <w:t>/202</w:t>
      </w:r>
      <w:r w:rsidR="00DE6879">
        <w:rPr>
          <w:rStyle w:val="paragraph"/>
        </w:rPr>
        <w:t>2</w:t>
      </w:r>
      <w:r w:rsidR="0052142A">
        <w:rPr>
          <w:rStyle w:val="paragraph"/>
        </w:rPr>
        <w:t xml:space="preserve">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16" w:name="OLE_LINK142"/>
      <w:bookmarkStart w:id="17" w:name="OLE_LINK143"/>
      <w:bookmarkStart w:id="18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16"/>
    <w:bookmarkEnd w:id="17"/>
    <w:bookmarkEnd w:id="18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>
        <w:rPr>
          <w:b/>
          <w:sz w:val="22"/>
          <w:szCs w:val="22"/>
        </w:rPr>
        <w:t>№ __ от _______ 20</w:t>
      </w:r>
      <w:r w:rsidR="00AA4040" w:rsidRPr="00AA4040">
        <w:rPr>
          <w:b/>
          <w:sz w:val="22"/>
          <w:szCs w:val="22"/>
        </w:rPr>
        <w:t>2</w:t>
      </w:r>
      <w:r w:rsidR="00DE68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F54C13" w:rsidP="00F54C13">
            <w:pPr>
              <w:rPr>
                <w:b/>
                <w:sz w:val="22"/>
                <w:szCs w:val="22"/>
              </w:rPr>
            </w:pPr>
            <w:r w:rsidRPr="00F54C13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DE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Pr="00F54C13">
              <w:rPr>
                <w:b/>
                <w:sz w:val="22"/>
                <w:szCs w:val="22"/>
              </w:rPr>
              <w:t xml:space="preserve"> 20</w:t>
            </w:r>
            <w:r w:rsidR="00AA4040">
              <w:rPr>
                <w:b/>
                <w:sz w:val="22"/>
                <w:szCs w:val="22"/>
                <w:lang w:val="en-US"/>
              </w:rPr>
              <w:t>2</w:t>
            </w:r>
            <w:r w:rsidR="00DE6879">
              <w:rPr>
                <w:b/>
                <w:sz w:val="22"/>
                <w:szCs w:val="22"/>
              </w:rPr>
              <w:t>4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DE6879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sz w:val="24"/>
          <w:szCs w:val="24"/>
        </w:rPr>
        <w:t>Конкурсный</w:t>
      </w:r>
      <w:r w:rsidRPr="00FD6AA5">
        <w:rPr>
          <w:b/>
          <w:sz w:val="24"/>
          <w:szCs w:val="24"/>
        </w:rPr>
        <w:t xml:space="preserve"> управляющий </w:t>
      </w:r>
      <w:proofErr w:type="spellStart"/>
      <w:r w:rsidRPr="00FD6AA5">
        <w:rPr>
          <w:b/>
          <w:sz w:val="24"/>
          <w:szCs w:val="24"/>
        </w:rPr>
        <w:t>Маланин</w:t>
      </w:r>
      <w:proofErr w:type="spellEnd"/>
      <w:r w:rsidRPr="00FD6AA5">
        <w:rPr>
          <w:b/>
          <w:sz w:val="24"/>
          <w:szCs w:val="24"/>
        </w:rPr>
        <w:t xml:space="preserve"> Роман Сергеевич </w:t>
      </w:r>
      <w:r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Pr="00DE6879">
        <w:rPr>
          <w:sz w:val="24"/>
          <w:szCs w:val="24"/>
        </w:rPr>
        <w:t>определения Арбитражного суда города Санкт-Петербурга и Ленинградской области от 16.11.2023 по делу № А56-111293/2022</w:t>
      </w:r>
      <w:r w:rsidRPr="00FD6AA5">
        <w:rPr>
          <w:sz w:val="24"/>
          <w:szCs w:val="24"/>
        </w:rPr>
        <w:t xml:space="preserve"> от имени </w:t>
      </w:r>
      <w:r w:rsidRPr="00DE6879">
        <w:rPr>
          <w:sz w:val="24"/>
          <w:szCs w:val="24"/>
        </w:rPr>
        <w:t>ООО «Научно-производственное объединение «Флагман» (ИНН 7811146081, ОГРН 1037825062516, адрес: 192012, Санкт-Петербург, ул. Бабушкина, д. 123, корп. 8, пом. 1-Н, оф. 1)</w:t>
      </w:r>
      <w:r w:rsidRPr="00FD6AA5">
        <w:rPr>
          <w:sz w:val="24"/>
          <w:szCs w:val="24"/>
        </w:rPr>
        <w:t>, признанного несостоятельным (банкротом)</w:t>
      </w:r>
      <w:bookmarkStart w:id="19" w:name="_GoBack"/>
      <w:bookmarkEnd w:id="19"/>
      <w:r w:rsidR="0052142A" w:rsidRPr="00FD6AA5">
        <w:rPr>
          <w:sz w:val="24"/>
          <w:szCs w:val="24"/>
        </w:rPr>
        <w:t>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</w:t>
      </w:r>
      <w:proofErr w:type="gramStart"/>
      <w:r w:rsidRPr="00C8363A">
        <w:rPr>
          <w:rStyle w:val="paragraph"/>
        </w:rPr>
        <w:t xml:space="preserve">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</w:t>
      </w:r>
      <w:proofErr w:type="gramEnd"/>
      <w:r w:rsidRPr="00DA3EE1">
        <w:rPr>
          <w:rStyle w:val="paragraph"/>
          <w:b/>
        </w:rPr>
        <w:t>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 xml:space="preserve">, в том числе (но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CC" w:rsidRDefault="00F27FCC">
      <w:r>
        <w:separator/>
      </w:r>
    </w:p>
  </w:endnote>
  <w:endnote w:type="continuationSeparator" w:id="0">
    <w:p w:rsidR="00F27FCC" w:rsidRDefault="00F2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CC" w:rsidRDefault="00F27FCC">
      <w:r>
        <w:separator/>
      </w:r>
    </w:p>
  </w:footnote>
  <w:footnote w:type="continuationSeparator" w:id="0">
    <w:p w:rsidR="00F27FCC" w:rsidRDefault="00F2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2142A"/>
    <w:rsid w:val="00533FC4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079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0651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040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A3EE1"/>
    <w:rsid w:val="00DB4C6F"/>
    <w:rsid w:val="00DB633B"/>
    <w:rsid w:val="00DC269A"/>
    <w:rsid w:val="00DC5CBD"/>
    <w:rsid w:val="00DC7323"/>
    <w:rsid w:val="00DD0750"/>
    <w:rsid w:val="00DD77CD"/>
    <w:rsid w:val="00DE22B7"/>
    <w:rsid w:val="00DE6879"/>
    <w:rsid w:val="00DF5683"/>
    <w:rsid w:val="00E14366"/>
    <w:rsid w:val="00E20105"/>
    <w:rsid w:val="00E247A7"/>
    <w:rsid w:val="00E27661"/>
    <w:rsid w:val="00E33A9F"/>
    <w:rsid w:val="00E33D64"/>
    <w:rsid w:val="00E37DB6"/>
    <w:rsid w:val="00E43A02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27FCC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25476"/>
  <w15:docId w15:val="{C16D448D-E50C-4B51-8C43-777AE32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3</cp:revision>
  <cp:lastPrinted>2016-05-10T11:38:00Z</cp:lastPrinted>
  <dcterms:created xsi:type="dcterms:W3CDTF">2024-06-28T10:36:00Z</dcterms:created>
  <dcterms:modified xsi:type="dcterms:W3CDTF">2024-06-28T10:42:00Z</dcterms:modified>
</cp:coreProperties>
</file>