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UserStyle_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ind w:firstLine="2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Сообщение о проведении торгов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191965</w:t>
      </w:r>
      <w:r>
        <w:rPr>
          <w:sz w:val="28"/>
          <w:szCs w:val="28"/>
        </w:rPr>
      </w:r>
    </w:p>
    <w:p>
      <w:pPr>
        <w:pStyle w:val="UserStyle_0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торгов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01.07.2024 11:00 - 12.08.2024 17:30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179" w:type="dxa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076"/>
        <w:gridCol w:w="5103"/>
      </w:tblGrid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Normal"/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Дробинин  Сергей  Анатольевич</w:t>
            </w:r>
            <w:r>
              <w:rPr>
                <w:sz w:val="28"/>
                <w:szCs w:val="28"/>
                <w:lang w:val="en-US"/>
              </w:rPr>
              <w:t xml:space="preserve">, </w:t>
            </w:r>
          </w:p>
          <w:p>
            <w:pPr>
              <w:pStyle w:val="Normal"/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 xml:space="preserve">ОГРН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 xml:space="preserve">ИНН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352508253164</w:t>
            </w:r>
            <w:r>
              <w:rPr>
                <w:sz w:val="28"/>
                <w:szCs w:val="28"/>
                <w:lang w:val="en-US"/>
              </w:rPr>
              <w:t xml:space="preserve">.</w:t>
            </w:r>
          </w:p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фамилия, имя, отчество арбитражного управляющего, наименование саморегулируемой организации арбитражных управляющих, членом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которой он является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</w:p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олное наименование конкурсного управляющего, краткое наименование конкурсного управляющего, ОГРН конкурсного управляющего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Попов Дмитрий Андреевич</w:t>
            </w:r>
          </w:p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Ассоциация "Саморегулируемая организация арбитражных управляющих "Меркурий"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Normal"/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Арбитражный суд Вологодской области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 xml:space="preserve">дело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о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банкротстве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А13-14949/2021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Арбитражный суд Вологодской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Решение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19.09.2022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</w:t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Дебиторская задолженность (право требования), принадлежащая Дробинину Сергею Анатольевичу по обязательствам: - ООО «Айпол инвест» ИНН: 3525161388, ОГРН: 1063525024947 в сумме 687 799,76 руб. Определение Арбитражного суда Вологодской области от 10.01.2024 по делу № А13- 14706/2021..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Продажа посредством публично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 предложения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Normal"/>
              <w:ind w:firstLine="2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заявок на участие в </w:t>
            </w:r>
            <w:r>
              <w:rPr>
                <w:sz w:val="28"/>
                <w:szCs w:val="28"/>
              </w:rPr>
              <w:t xml:space="preserve">торгах осуществляется по адресу: http://lot-online.ru  с </w:t>
            </w:r>
            <w:r>
              <w:rPr>
                <w:sz w:val="28"/>
                <w:szCs w:val="28"/>
              </w:rPr>
              <w:t xml:space="preserve">01.07.2024</w:t>
            </w:r>
            <w:r>
              <w:rPr>
                <w:sz w:val="28"/>
                <w:szCs w:val="28"/>
              </w:rPr>
              <w:t xml:space="preserve"> г. и заканчивается </w:t>
            </w:r>
            <w:r>
              <w:rPr>
                <w:sz w:val="28"/>
                <w:szCs w:val="28"/>
              </w:rPr>
              <w:t xml:space="preserve">12.08.2024 г. в 17:30</w:t>
            </w:r>
            <w:r>
              <w:rPr>
                <w:sz w:val="28"/>
                <w:szCs w:val="28"/>
              </w:rPr>
              <w:t xml:space="preserve"> (время московское).</w:t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Normal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торгах заявитель должен зарегистрироваться, пройти аккредитацию на ЭП, подать заявку, заключить с организатором торгов договор о задатке, оплатить задаток. Заявитель направляет оператору ЭП заверенную банком копию платежного поручения об оплате задатка, заявку на участие в торгах, которая должна содержать сведения, предусмотренные законом и документы, перечисленные в ст.110 ФЗ «О несостоятельности (банкротстве)» и указанные на ЭП. К участию в торгах допускаются юридически</w:t>
            </w:r>
            <w:r>
              <w:rPr>
                <w:bCs/>
                <w:sz w:val="28"/>
                <w:szCs w:val="28"/>
              </w:rPr>
              <w:t xml:space="preserve">е и физические лица, с</w:t>
            </w:r>
            <w:r>
              <w:rPr>
                <w:bCs/>
                <w:sz w:val="28"/>
                <w:szCs w:val="28"/>
              </w:rPr>
              <w:t xml:space="preserve">воевременно подавшие заявку на участие в торгах и оплатившие задаток.  Заявка на участие в торгах должна соответствовать требованиям, установленным ФЗ «О несостоятельности (банкротстве)» от 26.10.2002 №127-ФЗ, Приказом Минэкономразвития РФ от 23.07.2015 г. № 495 и оформляться в форме электронного документа. Заявка на участие в торгах составляется в произвольной форме на русском языке и должна содержать следующие сведения: - наименование, организационно-правовая форма, место нахождения,</w:t>
            </w:r>
            <w:r>
              <w:rPr>
                <w:bCs/>
                <w:sz w:val="28"/>
                <w:szCs w:val="28"/>
              </w:rPr>
              <w:t xml:space="preserve"> почтовый адрес заявит</w:t>
            </w:r>
            <w:r>
              <w:rPr>
                <w:bCs/>
                <w:sz w:val="28"/>
                <w:szCs w:val="28"/>
              </w:rPr>
              <w:t xml:space="preserve">еля (для юридического лица); - фамилия, имя, отчество, паспортные данные, сведения о месте жительства заявителя (для физического лица); - номер контактного телефона, адрес электронной почты заявителя. 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а так</w:t>
            </w:r>
            <w:r>
              <w:rPr>
                <w:bCs/>
                <w:sz w:val="28"/>
                <w:szCs w:val="28"/>
              </w:rPr>
              <w:t xml:space="preserve">же саморегулируемой ор</w:t>
            </w:r>
            <w:r>
              <w:rPr>
                <w:bCs/>
                <w:sz w:val="28"/>
                <w:szCs w:val="28"/>
              </w:rPr>
              <w:t xml:space="preserve">ганизации арбитражных управляющих, членом или руководителем которой является финансовый управляющий. К заявке на участие в торгах должны прилагаться копии следующих документов: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предпринимателя), документы, удостоверяющие личность (для физического лица), надлежащим образом заверенный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к) размер задатка, сроки и порядок внесения и возврата задатка,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квизиты счетов, на которые вносится задаток;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1:  руб.</w:t>
            </w:r>
          </w:p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Помимо представления заявки на участие в торгах претенденты обязаны внести задаток за участие в торгах в размере 10 (Десять) % от цены продажи имущества (Лота) должника, установленной для периода торгов на котором подается заявка на участие в торгах.  В соот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ветствии с пунктом 6.1.3 Порядка № 495 При участии в торгах посредством публичного предложения заявитель обязан обеспечить поступление задатка на счета, указанные в электронном сообщении о продаже, не позднее указанной в таком сообщении даты и времени ок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ончания приема заявок на участие в торгах для соответствующего периода проведения торгов. Согласно пункту 4.4 Порядка № 495 для участия в открытых торгах заявитель представляет оператору электронной площадки в электронной форме подписанный электронной цифров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ой подписью заявителя договор о задатке. Заявитель вправе также направить задаток на счета, указанные в сообщении о проведении торгов без представления подписанного договора о задатке. В этом случае перечисление задатка заявителем в соответствии с сообще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нием о проведении торгов считается акцептом размещенного на электронной площадке договора о задатке. По смыслу пункта 11 статьи 110 Закона о банкротстве документы, подтверждающие внесение задатка, представляются вместе с заявкой на участие в торгах.Суммы вне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 и поступления соответствующего заявления. В обоих случаях претендентам и 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частникам торгов для возврата перечисленных денежных средств необходимо представить организатору торгов реквизиты расчетного счета.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.</w:t>
            </w:r>
          </w:p>
          <w:p>
            <w:pPr>
              <w:pStyle w:val="UserStyle_4"/>
              <w:widowControl w:val="true"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Наименование получателя: основной счет Должника открытый в Вологодском отделении ПАО «Сбербанк» № 8638, кор.счет: 30101810900000000644, БИК банка: 041909644, КПП банка: 352502001, ИНН банка: 7707083893, счет получателя: 40817810412001443932, получатель Дробинин Сергей Анатольевич (реквизиты расчетного счета приложены к настоящему сообщению).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л) начальная цена продажи имущества (предприятия) должника;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Лот 1: 48 500.00 руб.</w:t>
            </w:r>
          </w:p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Normal"/>
              <w:ind w:firstLine="29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Лот 1: </w:t>
            </w:r>
          </w:p>
          <w:p>
            <w:pPr>
              <w:pStyle w:val="Normal"/>
              <w:ind w:firstLine="29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01.07.2024 в 0:0 (48 500.00 руб.) - 08.07.2024;</w:t>
            </w:r>
          </w:p>
          <w:p>
            <w:pPr>
              <w:pStyle w:val="Normal"/>
              <w:ind w:firstLine="29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08.07.2024 в 0:0 (43 650.00 руб.) - 15.07.2024;</w:t>
            </w:r>
          </w:p>
          <w:p>
            <w:pPr>
              <w:pStyle w:val="Normal"/>
              <w:ind w:firstLine="29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15.07.2024 в 0:0 (38 800.00 руб.) - 22.07.2024;</w:t>
            </w:r>
          </w:p>
          <w:p>
            <w:pPr>
              <w:pStyle w:val="Normal"/>
              <w:ind w:firstLine="29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22.07.2024 в 0:0 (33 950.00 руб.) - 29.07.2024;</w:t>
            </w:r>
          </w:p>
          <w:p>
            <w:pPr>
              <w:pStyle w:val="Normal"/>
              <w:ind w:firstLine="29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29.07.2024 в 0:0 (29 100.00 руб.) - 05.08.2024;</w:t>
            </w:r>
          </w:p>
          <w:p>
            <w:pPr>
              <w:pStyle w:val="Normal"/>
              <w:ind w:firstLine="29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05.08.2024 в 0:0 (24 250.00 руб.) - 12.08.2024;</w:t>
            </w:r>
          </w:p>
          <w:p>
            <w:pPr>
              <w:pStyle w:val="Normal"/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н) порядок и критерии определения победителя торгов;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Normal"/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Победителем торгов по продаже Имущества Должника посредством публичного предложения признается участник торгов, который представил в установленный срок заявку на участие в торгах, содержащую предложение о цене Имущества Должника, которая не ниже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представили в</w:t>
            </w:r>
            <w:r>
              <w:rPr>
                <w:color w:val="000000"/>
                <w:sz w:val="28"/>
                <w:szCs w:val="28"/>
              </w:rPr>
              <w:t xml:space="preserve">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Победителем торгов, является участник, предложивший максимальную цену за Имущество Должника. В случае,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</w:t>
            </w:r>
            <w:r>
              <w:rPr>
                <w:color w:val="000000"/>
                <w:sz w:val="28"/>
                <w:szCs w:val="28"/>
              </w:rPr>
              <w:t xml:space="preserve">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Заявка признается победившей при условии ее соответствия требованиям, установленным Законом о банкротстве и настоящим Положением, и подтверждения поступления задатка от заявителя на счет, указанный в сообщении о проведении торгов.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о) дата, время и место подведения результатов открытых торгов;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Normal"/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день завершения соответствующего периода на электронной площадке АО "Российский аукционный дом".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Normal"/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течение 2 дней победителю направляется протокол о результатах проведения торгов. В течение 5 рабочих дней победителю направляется предложение заключить договор с приложением проекта договора. Протокол, предложение заключить договор с приложением самого договора направляется победителю торгов посредством электронной почты. Договор должен быть подписан победителем торгов в течение 5 рабочих дней с даты получения предложения о заключении договора купли-продажи. Подписанный договор должен быть направлен орган</w:t>
            </w:r>
            <w:r>
              <w:rPr>
                <w:color w:val="000000"/>
                <w:sz w:val="28"/>
                <w:szCs w:val="28"/>
              </w:rPr>
              <w:t xml:space="preserve">изатору торгов в течение 3 рабочих дней с момента его подписания по почте (адрес для корреспонденции: 160004, г. Вологда, а/я № 1), а также в отсканированном виде на эл. почту (Redxabk@yandex.ru). В случае отказа или уклонения Победителя торгов от подписания договора купли-продажи в течение 5 дней со дня получения предложения финансового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</w:t>
            </w:r>
            <w:r>
              <w:rPr>
                <w:color w:val="000000"/>
                <w:sz w:val="28"/>
                <w:szCs w:val="28"/>
              </w:rPr>
              <w:t xml:space="preserve">шему наиболее высокую цену Имущества Должника по сравнению с ценой, предложенной другими участниками торгов, за исключением Победителя торгов.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р) сроки платежей, реквизиты счетов, на которые вносятся платежи;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Normal"/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Оплата по договору производится в течение 30 дней с даты подписания договора купли-продажи по реквизитам, по которым вносился задаток.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торгов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Попов Дмитрий Андреевич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352510317400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КПП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адрес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г Вологда, ул Гагарина, д 2а к 3, кв 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+89815034973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instrText xml:space="preserve"> HYPERLINK "mailto:agafonov@property-fund.ru" </w:instrTex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Redxabk@yandex.ru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Normal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>
              <w:rPr>
                <w:color w:val="000000"/>
                <w:sz w:val="28"/>
                <w:szCs w:val="28"/>
              </w:rPr>
              <w:t xml:space="preserve">законом</w:t>
            </w:r>
            <w:r>
              <w:rPr>
                <w:sz w:val="28"/>
                <w:szCs w:val="28"/>
              </w:rPr>
              <w:t xml:space="preserve"> от 26 октября 2002 г.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</w:t>
            </w:r>
            <w:r>
              <w:rPr>
                <w:sz w:val="28"/>
                <w:szCs w:val="28"/>
              </w:rPr>
              <w:t xml:space="preserve">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UserStyle_0"/>
              <w:ind w:firstLine="290" w:left="16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20.06.2024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года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r>
          </w:p>
        </w:tc>
      </w:tr>
    </w:tbl>
    <w:p>
      <w:pPr>
        <w:pStyle w:val="UserStyle_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</w:p>
    <w:sectPr>
      <w:type w:val="nextPage"/>
      <w:pgSz w:h="16838" w:w="11906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lvlJc w:val="left"/>
      <w:lvlText w:val="%1"/>
      <w:numFmt w:val="decimal"/>
      <w:pPr>
        <w:pStyle w:val="Normal"/>
        <w:tabs>
          <w:tab w:val="num" w:leader="none" w:pos="1080"/>
        </w:tabs>
        <w:ind w:hanging="360" w:left="1080"/>
      </w:pPr>
      <w:start w:val="13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800"/>
        </w:tabs>
        <w:ind w:hanging="360" w:left="1800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520"/>
        </w:tabs>
        <w:ind w:hanging="180" w:left="252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3240"/>
        </w:tabs>
        <w:ind w:hanging="360" w:left="3240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960"/>
        </w:tabs>
        <w:ind w:hanging="360" w:left="3960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680"/>
        </w:tabs>
        <w:ind w:hanging="180" w:left="468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400"/>
        </w:tabs>
        <w:ind w:hanging="360" w:left="5400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6120"/>
        </w:tabs>
        <w:ind w:hanging="360" w:left="6120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840"/>
        </w:tabs>
        <w:ind w:hanging="180" w:left="6840"/>
      </w:pPr>
      <w:start w:val="1"/>
      <w:suff w:val="tab"/>
    </w:lvl>
  </w:abstractNum>
  <w:abstractNum w:abstractNumId="1">
    <w:multiLevelType w:val="multilevel"/>
    <w:lvl w:ilvl="0">
      <w:lvlJc w:val="left"/>
      <w:lvlText w:val="%1."/>
      <w:numFmt w:val="decimal"/>
      <w:pPr>
        <w:pStyle w:val="Normal"/>
        <w:tabs>
          <w:tab w:val="num" w:leader="none" w:pos="360"/>
        </w:tabs>
        <w:ind w:hanging="360" w:left="360"/>
      </w:pPr>
      <w:rPr>
        <w:color w:val="000000"/>
      </w:rPr>
      <w:start w:val="1"/>
      <w:suff w:val="tab"/>
    </w:lvl>
    <w:lvl w:ilvl="1">
      <w:lvlJc w:val="left"/>
      <w:lvlText w:val="%1.%2."/>
      <w:numFmt w:val="decimal"/>
      <w:pPr>
        <w:pStyle w:val="Normal"/>
        <w:tabs>
          <w:tab w:val="num" w:leader="none" w:pos="1332"/>
        </w:tabs>
        <w:ind w:hanging="432" w:left="1332"/>
      </w:pPr>
      <w:start w:val="1"/>
      <w:suff w:val="tab"/>
    </w:lvl>
    <w:lvl w:ilvl="2">
      <w:lvlJc w:val="left"/>
      <w:lvlText w:val="%1.%2.%3."/>
      <w:numFmt w:val="decimal"/>
      <w:pPr>
        <w:pStyle w:val="Normal"/>
        <w:tabs>
          <w:tab w:val="num" w:leader="none" w:pos="1440"/>
        </w:tabs>
        <w:ind w:hanging="504" w:left="1224"/>
      </w:pPr>
      <w:start w:val="1"/>
      <w:suff w:val="tab"/>
    </w:lvl>
    <w:lvl w:ilvl="3">
      <w:lvlJc w:val="left"/>
      <w:lvlText w:val="%1.%2.%3.%4."/>
      <w:numFmt w:val="decimal"/>
      <w:pPr>
        <w:pStyle w:val="Normal"/>
        <w:tabs>
          <w:tab w:val="num" w:leader="none" w:pos="2160"/>
        </w:tabs>
        <w:ind w:hanging="648" w:left="1728"/>
      </w:pPr>
      <w:start w:val="1"/>
      <w:suff w:val="tab"/>
    </w:lvl>
    <w:lvl w:ilvl="4">
      <w:lvlJc w:val="left"/>
      <w:lvlText w:val="%1.%2.%3.%4.%5."/>
      <w:numFmt w:val="decimal"/>
      <w:pPr>
        <w:pStyle w:val="Normal"/>
        <w:tabs>
          <w:tab w:val="num" w:leader="none" w:pos="2520"/>
        </w:tabs>
        <w:ind w:hanging="792" w:left="2232"/>
      </w:pPr>
      <w:start w:val="1"/>
      <w:suff w:val="tab"/>
    </w:lvl>
    <w:lvl w:ilvl="5">
      <w:lvlJc w:val="left"/>
      <w:lvlText w:val="%1.%2.%3.%4.%5.%6."/>
      <w:numFmt w:val="decimal"/>
      <w:pPr>
        <w:pStyle w:val="Normal"/>
        <w:tabs>
          <w:tab w:val="num" w:leader="none" w:pos="3240"/>
        </w:tabs>
        <w:ind w:hanging="936" w:left="2736"/>
      </w:pPr>
      <w:start w:val="1"/>
      <w:suff w:val="tab"/>
    </w:lvl>
    <w:lvl w:ilvl="6">
      <w:lvlJc w:val="left"/>
      <w:lvlText w:val="%1.%2.%3.%4.%5.%6.%7."/>
      <w:numFmt w:val="decimal"/>
      <w:pPr>
        <w:pStyle w:val="Normal"/>
        <w:tabs>
          <w:tab w:val="num" w:leader="none" w:pos="3600"/>
        </w:tabs>
        <w:ind w:hanging="1080" w:left="3240"/>
      </w:pPr>
      <w:start w:val="1"/>
      <w:suff w:val="tab"/>
    </w:lvl>
    <w:lvl w:ilvl="7">
      <w:lvlJc w:val="left"/>
      <w:lvlText w:val="%1.%2.%3.%4.%5.%6.%7.%8."/>
      <w:numFmt w:val="decimal"/>
      <w:pPr>
        <w:pStyle w:val="Normal"/>
        <w:tabs>
          <w:tab w:val="num" w:leader="none" w:pos="4320"/>
        </w:tabs>
        <w:ind w:hanging="1224" w:left="3744"/>
      </w:pPr>
      <w:start w:val="1"/>
      <w:suff w:val="tab"/>
    </w:lvl>
    <w:lvl w:ilvl="8">
      <w:lvlJc w:val="left"/>
      <w:lvlText w:val="%1.%2.%3.%4.%5.%6.%7.%8.%9."/>
      <w:numFmt w:val="decimal"/>
      <w:pPr>
        <w:pStyle w:val="Normal"/>
        <w:tabs>
          <w:tab w:val="num" w:leader="none" w:pos="4680"/>
        </w:tabs>
        <w:ind w:hanging="1440" w:left="4320"/>
      </w:pPr>
      <w:start w:val="1"/>
      <w:suff w:val="tab"/>
    </w:lvl>
  </w:abstractNum>
  <w:abstractNum w:abstractNumId="2">
    <w:multiLevelType w:val="hybridMultilevel"/>
    <w:lvl w:ilvl="0">
      <w:lvlJc w:val="left"/>
      <w:lvlText w:val="%1"/>
      <w:numFmt w:val="decimal"/>
      <w:pPr>
        <w:pStyle w:val="Normal"/>
        <w:tabs>
          <w:tab w:val="num" w:leader="none" w:pos="720"/>
        </w:tabs>
        <w:ind w:hanging="360" w:left="720"/>
      </w:pPr>
      <w:start w:val="13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440"/>
        </w:tabs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160"/>
        </w:tabs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880"/>
        </w:tabs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600"/>
        </w:tabs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320"/>
        </w:tabs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040"/>
        </w:tabs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5760"/>
        </w:tabs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480"/>
        </w:tabs>
        <w:ind w:hanging="180" w:left="6480"/>
      </w:pPr>
      <w:start w:val="1"/>
      <w:suff w:val="tab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color w:val="000000"/>
      <w:sz w:val="24"/>
      <w:szCs w:val="24"/>
      <w:lang w:val="ru-RU" w:eastAsia="ru-RU" w:bidi="ar-SA"/>
    </w:rPr>
  </w:style>
  <w:style w:type="character" w:styleId="NormalCharacter">
    <w:name w:val="Основной шрифт абзаца, Знак Знак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</w:tblPr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ConsPlusNormal"/>
    <w:next w:val="UserStyle_0"/>
    <w:link w:val="Normal"/>
    <w:pPr>
      <w:ind w:firstLine="720"/>
    </w:pPr>
    <w:rPr>
      <w:rFonts w:ascii="Arial" w:hAnsi="Arial" w:cs="Arial"/>
      <w:lang w:val="ru-RU" w:eastAsia="ru-RU" w:bidi="ar-SA"/>
    </w:rPr>
  </w:style>
  <w:style w:type="paragraph" w:styleId="UserStyle_1">
    <w:name w:val="ConsPlusNonformat"/>
    <w:next w:val="UserStyle_1"/>
    <w:link w:val="Normal"/>
    <w:pPr/>
    <w:rPr>
      <w:rFonts w:ascii="Courier New" w:hAnsi="Courier New" w:cs="Courier New"/>
      <w:lang w:val="ru-RU" w:eastAsia="ru-RU" w:bidi="ar-SA"/>
    </w:rPr>
  </w:style>
  <w:style w:type="table" w:styleId="TableGrid">
    <w:name w:val="Сетка таблицы"/>
    <w:basedOn w:val="TableNormal"/>
    <w:next w:val="TableGrid"/>
    <w:link w:val="Normal"/>
    <w:tblPr>
      <w:tblW w:w="0" w:type="auto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UserStyle_2">
    <w:name w:val="UserStyle_2"/>
    <w:basedOn w:val="Normal"/>
    <w:next w:val="UserStyle_2"/>
    <w:link w:val="Normal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UserStyle_3">
    <w:name w:val="paragraph"/>
    <w:basedOn w:val="NormalCharacter"/>
    <w:next w:val="UserStyle_3"/>
    <w:link w:val="Normal"/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UserStyle_4">
    <w:name w:val="ConsTitle"/>
    <w:next w:val="UserStyle_4"/>
    <w:link w:val="Normal"/>
    <w:pPr>
      <w:widowControl w:val="false"/>
    </w:pPr>
    <w:rPr>
      <w:rFonts w:ascii="Arial" w:hAnsi="Arial"/>
      <w:b/>
      <w:snapToGrid w:val="0"/>
      <w:sz w:val="16"/>
      <w:lang w:val="ru-RU" w:eastAsia="ru-RU" w:bidi="ar-SA"/>
    </w:rPr>
  </w:style>
  <w:style w:type="character" w:styleId="AnnotationReference">
    <w:name w:val="Знак примечания"/>
    <w:next w:val="AnnotationReference"/>
    <w:link w:val="Normal"/>
    <w:semiHidden/>
    <w:rPr>
      <w:sz w:val="16"/>
      <w:szCs w:val="16"/>
    </w:rPr>
  </w:style>
  <w:style w:type="paragraph" w:styleId="AnnotationText">
    <w:name w:val="Текст примечания"/>
    <w:basedOn w:val="Normal"/>
    <w:next w:val="AnnotationText"/>
    <w:link w:val="Normal"/>
    <w:semiHidden/>
    <w:rPr>
      <w:sz w:val="20"/>
      <w:szCs w:val="20"/>
    </w:rPr>
  </w:style>
  <w:style w:type="paragraph" w:styleId="AnnotationSubject">
    <w:name w:val="Тема примечания"/>
    <w:basedOn w:val="AnnotationText"/>
    <w:next w:val="AnnotationText"/>
    <w:link w:val="Normal"/>
    <w:semiHidden/>
    <w:rPr>
      <w:b/>
      <w:bCs/>
    </w:rPr>
  </w:style>
  <w:style w:type="character" w:styleId="UserStyle_5">
    <w:name w:val="apple-style-span"/>
    <w:basedOn w:val="NormalCharacter"/>
    <w:next w:val="UserStyle_5"/>
    <w:link w:val="Normal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Characters>9967</Characters>
  <CharactersWithSpaces>11692</CharactersWithSpaces>
  <DocSecurity>0</DocSecurity>
  <HyperlinksChanged>false</HyperlinksChanged>
  <Lines>83</Lines>
  <Pages>7</Pages>
  <Paragraphs>23</Paragraphs>
  <ScaleCrop>false</ScaleCrop>
  <SharedDoc>false</SharedDoc>
  <Template>Normal</Template>
  <Words>1748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Байдак Артем Дмитриевич</cp:lastModifiedBy>
  <cp:revision>14</cp:revision>
  <dcterms:created xsi:type="dcterms:W3CDTF">2011-07-08T08:43:00Z</dcterms:created>
  <dcterms:modified xsi:type="dcterms:W3CDTF">2024-06-30T22:32:00Z</dcterms:modified>
  <cp:version>1048576</cp:version>
</cp:coreProperties>
</file>