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82E0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купли-продажи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450" w:type="dxa"/>
            <w:gridSpan w:val="10"/>
            <w:shd w:val="clear" w:color="FFFFFF" w:fill="auto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Мы, нижеподписавшиеся: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Федорович (24.02.1966г.р., место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гор.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Лабытнанги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Тюменской обл.,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627014, Тюменская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Ялуторовск г, Новикова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30, квартира 13, СНИЛС10989421997, ИНН 890200706843, паспорт РФ серия 7110, номе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821483, выдан 17.03.2011, кем выдан МЕЖРАЙОННЫМ ОТДЕЛОМ УФМС РОССИИ ПО ТЮМЕНСКОЙ ОБЛАСТИ В ГОР. ЯЛУТОРОВСКЕ, код подразделения 720-026), в лице Гражданина РФ Финансового управляющего Сергиенко Светланы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Данисовны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(ИНН 744201856386, СНИЛС 14083812042,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22154), действующего на основании решения Арбитражного суда Тюменской области от 04.07.2023г. по делу №А70-9897/2023, именуемый в дальнейшем «Продавец», с одной стороны, и 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Гражданин РФ  , именуемый в дальнейшем «Покупатель» с другой сто</w:t>
            </w:r>
            <w:r>
              <w:rPr>
                <w:rFonts w:ascii="Times New Roman" w:hAnsi="Times New Roman"/>
                <w:sz w:val="20"/>
                <w:szCs w:val="20"/>
              </w:rPr>
              <w:t>роны, а совместно именуемые «Стороны», заключили настоящий договор о нижеследующем,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 Предмет договора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1.1.  В соответствии с Протоколом №  от 28.06.2024г. по продаже имущества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Юрия Федоровича, размещенным на торговой площадке  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"РАД" (https://lot-online.ru/)  (далее по тексту – "Протокол"), Продавец обязуется передать в собственность Покупателя, признанного Победителем указанных торгов, имущество, выигранное на этих торгах, а именно: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ЛОТ №1 - </w:t>
            </w:r>
            <w:r w:rsidR="005704AF" w:rsidRPr="005704AF">
              <w:rPr>
                <w:rFonts w:ascii="Times New Roman" w:hAnsi="Times New Roman"/>
                <w:sz w:val="20"/>
                <w:szCs w:val="20"/>
              </w:rPr>
              <w:t>1/7 доля в праве на 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участок, площадь: 908м², </w:t>
            </w:r>
            <w:r>
              <w:rPr>
                <w:rFonts w:ascii="Times New Roman" w:hAnsi="Times New Roman"/>
                <w:sz w:val="20"/>
                <w:szCs w:val="20"/>
              </w:rPr>
              <w:t>адрес (местонахождение): Тюменская область, г. Ялуторовск, микрорайон в границах улиц Комсомольская-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Анисимовская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участок № 28, категория земель: земли населенных пунктов , разрешенное использование: для строительства индивидуального жилого дома и хозяйств</w:t>
            </w:r>
            <w:r>
              <w:rPr>
                <w:rFonts w:ascii="Times New Roman" w:hAnsi="Times New Roman"/>
                <w:sz w:val="20"/>
                <w:szCs w:val="20"/>
              </w:rPr>
              <w:t>енно-бытовых строений, кадастровый номер: 72:26:0102002:1282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Право собственности зарегистрировано в установленном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законом порядке (далее по тексту - «Имущество»).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1.2. На момент составления Договора купли-продажи на вышеуказанно</w:t>
            </w:r>
            <w:r>
              <w:rPr>
                <w:rFonts w:ascii="Times New Roman" w:hAnsi="Times New Roman"/>
                <w:sz w:val="20"/>
                <w:szCs w:val="20"/>
              </w:rPr>
              <w:t>м имуществе обременения/ограничения отсутствуют.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Обязанности Сторон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 Продавец обязуется: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2.1.1. Передать Покупателю имущество по акту приема-передачи.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</w:t>
            </w:r>
            <w:r>
              <w:rPr>
                <w:rFonts w:ascii="Times New Roman" w:hAnsi="Times New Roman"/>
                <w:sz w:val="20"/>
                <w:szCs w:val="20"/>
              </w:rPr>
              <w:t>т Продавца денежных средств в соответствии с настоящим договором.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 Покупатель обязан: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2.2.1. Оплатить полную стоимость имущества в соответствии с настоящим договором.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Цена и порядок расчетов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3.1. Стоимость им</w:t>
            </w:r>
            <w:r>
              <w:rPr>
                <w:rFonts w:ascii="Times New Roman" w:hAnsi="Times New Roman"/>
                <w:sz w:val="20"/>
                <w:szCs w:val="20"/>
              </w:rPr>
              <w:t>ущества составляет: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0 (Ноль рублей 00 копеек) без учета НДС (подпункт 15 п.2 ст.146 НК), Задаток, оплаченный Покупателем, составляет 0 (Ноль рублей 00 копеек), итоговая сумма оплаты Покупателем составляет 0 (Ноль рублей 00 копеек). Цена н</w:t>
            </w:r>
            <w:r>
              <w:rPr>
                <w:rFonts w:ascii="Times New Roman" w:hAnsi="Times New Roman"/>
                <w:sz w:val="20"/>
                <w:szCs w:val="20"/>
              </w:rPr>
              <w:t>астоящего договора установлена по результатам проведения торгов, которые проводились 28.06.2024г. на сайте https://lot-online.ru/, и указана в Протоколе  от 28.06.2024г. является окончательной и изменению не подлежит.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3.3. Оплата стоимости имущества по настоящему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оговору осуществляется Покупателем безналичным платежом на расчетный счет:  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Юрия Федоровича 40</w:t>
            </w:r>
            <w:r>
              <w:rPr>
                <w:rFonts w:ascii="Times New Roman" w:hAnsi="Times New Roman"/>
                <w:sz w:val="20"/>
                <w:szCs w:val="20"/>
              </w:rPr>
              <w:t>817810950173198752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течение тридцати дней с даты подписания настоящего договора.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Передач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имущества и переход риска случайной гибели имущества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</w:t>
            </w:r>
            <w:r>
              <w:rPr>
                <w:rFonts w:ascii="Times New Roman" w:hAnsi="Times New Roman"/>
                <w:sz w:val="20"/>
                <w:szCs w:val="20"/>
              </w:rPr>
              <w:t>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 свой счет.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</w:t>
            </w:r>
            <w:r>
              <w:rPr>
                <w:rFonts w:ascii="Times New Roman" w:hAnsi="Times New Roman"/>
                <w:sz w:val="20"/>
                <w:szCs w:val="20"/>
              </w:rPr>
              <w:t>овреждения имущества, переданного Покупателю.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Возникновение права собственности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Ответственность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Сторон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6.2. Отсу</w:t>
            </w:r>
            <w:r>
              <w:rPr>
                <w:rFonts w:ascii="Times New Roman" w:hAnsi="Times New Roman"/>
                <w:sz w:val="20"/>
                <w:szCs w:val="20"/>
              </w:rPr>
              <w:t>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6.3. Сторона, не исполнившая или ненадлежащим образом исполнившая свои обязательства по договору при выполне</w:t>
            </w:r>
            <w:r>
              <w:rPr>
                <w:rFonts w:ascii="Times New Roman" w:hAnsi="Times New Roman"/>
                <w:sz w:val="20"/>
                <w:szCs w:val="20"/>
              </w:rPr>
              <w:t>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</w:t>
            </w:r>
            <w:r>
              <w:rPr>
                <w:rFonts w:ascii="Times New Roman" w:hAnsi="Times New Roman"/>
                <w:sz w:val="20"/>
                <w:szCs w:val="20"/>
              </w:rPr>
              <w:t>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</w:t>
            </w:r>
            <w:r>
              <w:rPr>
                <w:rFonts w:ascii="Times New Roman" w:hAnsi="Times New Roman"/>
                <w:sz w:val="20"/>
                <w:szCs w:val="20"/>
              </w:rPr>
              <w:t>оронами договора как непреодолимая сила для надлежащего исполнения обязательств.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Порядок разрешения споров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 Условия изменения и расторжения договора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8.1. Расторжение настоящего дог</w:t>
            </w:r>
            <w:r>
              <w:rPr>
                <w:rFonts w:ascii="Times New Roman" w:hAnsi="Times New Roman"/>
                <w:sz w:val="20"/>
                <w:szCs w:val="20"/>
              </w:rPr>
              <w:t>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>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управомоченной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стороной путем уведомления другой стороны об отказе от договора (</w:t>
            </w:r>
            <w:r>
              <w:rPr>
                <w:rFonts w:ascii="Times New Roman" w:hAnsi="Times New Roman"/>
                <w:sz w:val="20"/>
                <w:szCs w:val="20"/>
              </w:rPr>
              <w:t>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В случае одностороннего отказа от договора (исполне</w:t>
            </w:r>
            <w:r>
              <w:rPr>
                <w:rFonts w:ascii="Times New Roman" w:hAnsi="Times New Roman"/>
                <w:sz w:val="20"/>
                <w:szCs w:val="20"/>
              </w:rPr>
              <w:t>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1, 2 Статья 450.1. Гражданского Кодекса Российской Федерации).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Заключительные положения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9.2. Сторонами договора рассмотрены все документы, подготовленные в св</w:t>
            </w:r>
            <w:r>
              <w:rPr>
                <w:rFonts w:ascii="Times New Roman" w:hAnsi="Times New Roman"/>
                <w:sz w:val="20"/>
                <w:szCs w:val="20"/>
              </w:rPr>
              <w:t>язи с продажей имущества.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9.3. Настоящий Договор составлен в 2-х экземплярах, имеющих одинаковую юридическую силу.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</w:t>
            </w:r>
            <w:r>
              <w:rPr>
                <w:rFonts w:ascii="Times New Roman" w:hAnsi="Times New Roman"/>
                <w:sz w:val="20"/>
                <w:szCs w:val="20"/>
              </w:rPr>
              <w:t>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 Реквизиты и подписи Сторон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B82E06" w:rsidRDefault="0052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Гражданин РФ</w:t>
            </w: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Осташев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Юрий Федорович (24.02.1966г.р., место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гор.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Лабытнанги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Тюменской обл., адрес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627014, Тюменская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Ялуторовск г, Новикова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дом № 30, квартира 13, СНИЛС10989421997, ИНН 890200706843, паспорт РФ серия 7110, номер 821483,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ыдан 17.03.2011, кем выдан МЕЖРАЙОННЫМ ОТДЕЛОМ УФМС РОССИИ ПО ТЮМЕНСКОЙ ОБЛАСТИ В ГОР. ЯЛУТОРОВСКЕ, код подразделения 720-026)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2175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банка: ФИЛИАЛ "ЦЕНТРАЛЬНЫЙ" ПАО "СОВКОМБАНК"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4401116480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ОГРН 1144400000425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БИК 045004763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КПП 440101001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101810150040000763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Юрия Федоровича 40817810950173198752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Финансовый управляющий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Осташева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Юрия Федоровича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B82E0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Сергиенко Светлана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B82E06" w:rsidRDefault="00527E00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B82E06" w:rsidRDefault="00B82E0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7E00" w:rsidRDefault="00527E00"/>
    <w:sectPr w:rsidR="00527E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E06"/>
    <w:rsid w:val="00527E00"/>
    <w:rsid w:val="005704AF"/>
    <w:rsid w:val="00B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Соболева</cp:lastModifiedBy>
  <cp:revision>3</cp:revision>
  <dcterms:created xsi:type="dcterms:W3CDTF">2024-05-21T08:09:00Z</dcterms:created>
  <dcterms:modified xsi:type="dcterms:W3CDTF">2024-05-21T08:10:00Z</dcterms:modified>
</cp:coreProperties>
</file>