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Default Extension="png" ContentType="image/png"/>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webSettings.xml" ContentType="application/vnd.openxmlformats-officedocument.wordprocessingml.webSetting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w:body>
    <w:tbl>
      <w:tblPr>
        <w:tblStyle w:val="TableStyle0"/>
        <w:tblW w:w="10395" w:type="dxa"/>
        <w:tblLayout w:type="fixed"/>
        <w:tblCellMar>
          <w:left w:w="0" w:type="dxa"/>
          <w:right w:w="0" w:type="dxa"/>
        </w:tblCellMar>
        <w:tblLook w:val="04A0"/>
      </w:tblPr>
      <w:tblGrid>
        <w:gridCol w:w="945"/>
        <w:gridCol w:w="945"/>
        <w:gridCol w:w="945"/>
        <w:gridCol w:w="945"/>
        <w:gridCol w:w="945"/>
        <w:gridCol w:w="945"/>
        <w:gridCol w:w="945"/>
        <w:gridCol w:w="945"/>
        <w:gridCol w:w="945"/>
        <w:gridCol w:w="945"/>
        <w:gridCol w:w="945"/>
      </w:tblGrid>
      <w:tr>
        <w:trPr>
          <w:trHeight w:val="31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ДОГОВОР</w:t>
            </w:r>
          </w:p>
        </w:tc>
      </w:tr>
      <w:tr>
        <w:trPr>
          <w:trHeight w:val="27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купли-продажи</w:t>
            </w:r>
          </w:p>
        </w:tc>
      </w:tr>
      <w:tr>
        <w:trPr>
          <w:trHeight w:val="270" w:hRule="exact"/>
        </w:trPr>
        <w:tc>
          <w:tcPr>
            <w:tcW w:w="9450" w:type="dxa"/>
            <w:gridSpan w:val="10"/>
            <w:shd w:val="clear" w:color="FFFFFF" w:fill="auto"/>
            <w:textDirection w:val="lrTb"/>
            <w:vAlign w:val="top"/>
          </w:tcPr>
          <w:p>
            <w:pPr>
              <w:wordWrap w:val="1"/>
              <w:jc w:val="both"/>
              <w:rPr>
                <w:rFonts w:ascii="Times New Roman" w:hAnsi="Times New Roman"/>
                <w:sz w:val="20"/>
                <w:szCs w:val="20"/>
              </w:rPr>
            </w:pPr>
            <w:r>
              <w:rPr>
                <w:rFonts w:ascii="Times New Roman" w:hAnsi="Times New Roman"/>
                <w:sz w:val="20"/>
                <w:szCs w:val="20"/>
              </w:rPr>
              <w:t>16.04.2024</w:t>
            </w:r>
          </w:p>
        </w:tc>
        <w:tc>
          <w:tcPr>
            <w:tcW w:w="945" w:type="dxa"/>
            <w:shd w:val="clear" w:color="FFFFFF" w:fill="auto"/>
            <w:textDirection w:val="lrTb"/>
            <w:vAlign w:val="bottom"/>
          </w:tcPr>
          <w:p>
            <w:pPr>
              <w:wordWrap w:val="1"/>
              <w:jc w:val="center"/>
              <w:rPr>
                <w:rFonts w:ascii="Times New Roman" w:hAnsi="Times New Roman"/>
                <w:b/>
                <w:sz w:val="20"/>
                <w:szCs w:val="20"/>
              </w:rPr>
            </w:pP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Мы, нижеподписавшиеся:</w:t>
            </w:r>
          </w:p>
        </w:tc>
      </w:tr>
      <w:tr>
        <w:trPr>
          <w:trHeight w:val="16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Бессонова Светлана Владимировна (09.07.1984г.р., место рожд: пос. Боровской Пыщугский р-н Костромская обл., адрес рег: 157632, Костромская обл, Пыщугский р-н, Боровской п, Октябрьская ул, дом № 3, квартира 1, СНИЛС10958115563, ИНН 442500503997, паспорт РФ серия 3417, номер 246809, выдан 23.08.2018, кем выдан УМВД России по Костромской области, код подразделения 440-023), в лице Гражданина РФ Финансового управляющего Мякишковой Юлии Николаевны (ИНН 425200647158, СНИЛС 18918836033, рег.номер 22153), действующего на основании решения Арбитражного суда Костромской области от 30.10.2023г. по делу №А31-8586/2023, именуемый в дальнейшем «Продавец», с одной стороны, и </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Гражданин РФ  , именуемый в дальнейшем «Покупатель» с другой стороны, а совместно именуемые «Стороны», заключили настоящий договор о нижеследующем,</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  Предмет договора</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1.1.  В соответствии с Протоколом №  от 29.05.2024г. по продаже имущества Бессоновой Светланы Владимировны, размещенным на торговой площадке  АО "РАД" (https://lot-online.ru/)  (далее по тексту – "Протокол"), Продавец обязуется передать в собственность Покупателя, признанного Победителем указанных торгов, имущество, выигранное на этих торгах, а именно:</w:t>
            </w:r>
          </w:p>
        </w:tc>
      </w:tr>
      <w:tr>
        <w:trPr>
          <w:trHeight w:val="495" w:hRule="exact"/>
        </w:trPr>
        <w:tc>
          <w:tcPr>
            <w:tcW w:w="10395" w:type="dxa"/>
            <w:gridSpan w:val="11"/>
            <w:shd w:val="clear" w:color="FFFFFF" w:fill="FFFFFF"/>
            <w:textDirection w:val="lrTb"/>
            <w:vAlign w:val="bottom"/>
          </w:tcPr>
          <w:p>
            <w:pPr>
              <w:wordWrap w:val="1"/>
              <w:jc w:val="both"/>
              <w:rPr>
                <w:rFonts w:ascii="Times New Roman" w:hAnsi="Times New Roman"/>
                <w:sz w:val="20"/>
                <w:szCs w:val="20"/>
              </w:rPr>
            </w:pPr>
            <w:r>
              <w:rPr>
                <w:rFonts w:ascii="Times New Roman" w:hAnsi="Times New Roman"/>
                <w:sz w:val="20"/>
                <w:szCs w:val="20"/>
              </w:rPr>
              <w:t>ЛОТ №1 - Хоз. постройка, площадь: 40,2м², адрес (местонахождение): 157632, Костромская обл, Пыщугский р-н, Боровской п, Советская ул, дом № 11, корпус 1, кадастровый номер: 44:19:040303:67 </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Право собственности зарегистрировано в установленном законом порядке (далее по тексту - «Имущество»).</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1.2. На момент составления Договора купли-продажи на вышеуказанном имуществе обременения/ограничения отсутствуют.</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2. Обязанности Сторон</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 Продавец обязуется:</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2.1.1. Передать Покупателю имущество по акту приема-передачи.</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2.1.2. Передать Покупателю по акту приема-передачи, все необходимые документы для регистрации перехода права собственности на выигранное на открытых торгах имущество, в течение 30 (тридцати) рабочих дней с момента поступления на расчетный счет Продавца денежных средств в соответствии с настоящим договором.</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 Покупатель обязан:</w:t>
            </w:r>
          </w:p>
        </w:tc>
      </w:tr>
      <w:tr>
        <w:trPr>
          <w:trHeight w:val="28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2.2.1. Оплатить полную стоимость имущества в соответствии с настоящим договором.</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2.2.2. В течение 30 (тридцати) рабочих дней со дня исполнения всех своих обязательств, предусмотренных настоящим договором, принять от Продавца имущество по акту приема-передачи.</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3. Цена и порядок расчетов</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3.1. Стоимость имущества составляет:</w:t>
            </w:r>
          </w:p>
        </w:tc>
      </w:tr>
      <w:tr>
        <w:trPr>
          <w:trHeight w:val="97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0 (Ноль рублей 00 копеек) без учета НДС (подпункт 15 п.2 ст.146 НК), Задаток, оплаченный Покупателем, составляет 0 (Ноль рублей 00 копеек), итоговая сумма оплаты Покупателем составляет 0 (Ноль рублей 00 копеек). Цена настоящего договора установлена по результатам проведения торгов, которые проводились 29.05.2024г. на сайте https://lot-online.ru/, и указана в Протоколе  от 29.05.2024г. является окончательной и изменению не подлежит.</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3.2. Расходы по переходу права собственности и иные, не указанные в настоящем договоре возможные расходы, необходимые для исполнения договорных обязательств, несет Покупатель.</w:t>
            </w:r>
          </w:p>
        </w:tc>
      </w:tr>
      <w:tr>
        <w:trPr>
          <w:trHeight w:val="4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3.3. Оплата стоимости имущества по настоящему договору осуществляется Покупателем безналичным платежом на расчетный счет:  </w:t>
            </w:r>
          </w:p>
        </w:tc>
      </w:tr>
      <w:tr>
        <w:trPr>
          <w:trHeight w:val="1695"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Бессоновой Светланы Владимировны 40817810750173696894</w:t>
            </w:r>
          </w:p>
        </w:tc>
      </w:tr>
      <w:tr>
        <w:trPr>
          <w:trHeight w:val="300" w:hRule="exact"/>
        </w:trPr>
        <w:tc>
          <w:tcPr>
            <w:tcW w:w="10395" w:type="dxa"/>
            <w:gridSpan w:val="11"/>
            <w:shd w:val="clear" w:color="FFFFFF" w:fill="auto"/>
            <w:textDirection w:val="lrTb"/>
            <w:vAlign w:val="bottom"/>
          </w:tcPr>
          <w:p>
            <w:pPr>
              <w:wordWrap w:val="1"/>
              <w:jc w:val="left"/>
              <w:rPr>
                <w:rFonts w:ascii="Times New Roman" w:hAnsi="Times New Roman"/>
                <w:sz w:val="20"/>
                <w:szCs w:val="20"/>
              </w:rPr>
            </w:pPr>
            <w:r>
              <w:rPr>
                <w:rFonts w:ascii="Times New Roman" w:hAnsi="Times New Roman"/>
                <w:sz w:val="20"/>
                <w:szCs w:val="20"/>
              </w:rPr>
              <w:t xml:space="preserve"> в течение тридцати дней с даты подписания настоящего договора.</w:t>
            </w:r>
          </w:p>
        </w:tc>
      </w:tr>
      <w:tr>
        <w:trPr>
          <w:trHeight w:val="73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Моментом надлежащей оплаты по настоящему договору считать момент перечисления банком Покупателя либо банком-корреспондентом предусмотренных настоящим договором сумм в банк Продавца для их дальнейшего зачисления на счет Продавца.</w:t>
            </w:r>
          </w:p>
        </w:tc>
      </w:tr>
      <w:tr>
        <w:trPr>
          <w:trHeight w:val="300"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4. Передача имущества и переход риска случайной гибели имущества</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4.1. Продавец в течение 30 (тридцати) рабочих дней со дня исполнения Покупателем всех своих обязательств, предусмотренных настоящим договором, обязан передать Покупателю имущество. Передача имущества осуществляется посредством подписания Сторонами акта приема-передачи. Момент подписания акта приема-передачи является моментом передачи имущества Покупателю.</w:t>
            </w:r>
          </w:p>
        </w:tc>
      </w:tr>
      <w:tr>
        <w:trPr>
          <w:trHeight w:val="6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4.2. Стороны договора определили, что Продавец осуществляет подготовку имущества к передаче его Покупателю, в том числе составление и представление на подписание акта приема-передачи. Указанные действия осуществляются Продавцом своими силами и за свой счет.</w:t>
            </w:r>
          </w:p>
        </w:tc>
      </w:tr>
      <w:tr>
        <w:trPr>
          <w:trHeight w:val="79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4.3. Имущество, полагают Стороны договора, будет считаться переданным от Продавца Покупателю с момента подписания акта приема-передачи обеими Сторонами договора. С этого момента на Покупателя переходит риск случайной гибели или случайного повреждения имущества, переданного Покупателю.</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5. Возникновение права собственности</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5.1. Право собственности на имущество переходит от Продавца к Покупателю в момент государственной регистрации права собственности.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6. Ответственность Сторон</w:t>
            </w:r>
          </w:p>
        </w:tc>
      </w:tr>
      <w:tr>
        <w:trPr>
          <w:trHeight w:val="51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6.1. Любая из Сторон настоящего договора, не исполнившая обязательства по договору или исполнившая их ненадлежащим образом, несет ответственность за упомянутое при наличии вины (умысла или неосторожности).</w:t>
            </w:r>
          </w:p>
        </w:tc>
      </w:tr>
      <w:tr>
        <w:trPr>
          <w:trHeight w:val="52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6.2. Отсутствие вины за неисполнение или ненадлежащее исполнение обязательств по договору доказывается Стороной, нарушившей обязательства.</w:t>
            </w:r>
          </w:p>
        </w:tc>
      </w:tr>
      <w:tr>
        <w:trPr>
          <w:trHeight w:val="222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6.3. Сторона, не исполнившая или ненадлежащим образом исполнившая свои обязательства по договору при выполнении его условий, несет ответственность, если не докажет, что надлежащее исполнение обязательств оказалось невозможным вследствие непреодолимой силы (форс-мажор), т. е. чрезвычайных и непредотвратимых обстоятельств при конкретных условиях конкретного периода времени. К обстоятельствам непреодолимой силы Стороны настоящего договора отнесли такие: явления стихийного характера (землетрясение, наводнение, удар молнии, извержение вулкана, сель, оползень, цунами и т. п.), температуру, силу ветра и уровень осадков в месте исполнения обязательств по договору, исключающих для человека нормальную жизнедеятельность; мораторий органов власти и управления; забастовки, организованные в установленном законом порядке, и другие обстоятельства, которые могут быть определены Сторонами договора как непреодолимая сила для надлежащего исполнения обязательств.</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7. Порядок разрешения споров</w:t>
            </w:r>
          </w:p>
        </w:tc>
      </w:tr>
      <w:tr>
        <w:trPr>
          <w:trHeight w:val="54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7.1. Споры, вытекающие из настоящего Договора, подлежат рассмотрению в арбитражном суде в порядке, предусмотренном действующим законодательством РФ.</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8. Условия изменения и расторжения договора</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8.1. Расторжение настоящего договора осуществляется в порядке, предусмотренном законодательством Российской Федерации, без возврата внесенного задатка.</w:t>
            </w:r>
          </w:p>
        </w:tc>
      </w:tr>
      <w:tr>
        <w:trPr>
          <w:trHeight w:val="75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8.2.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  (п. 4 ст. 486 Гражданского Кодекса Российской Федерации).</w:t>
              <w:br/>
              <w:t>
</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8.3. Право на односторонний отказ от договора (исполнения договора) (статья 310 Гражданского Кодекса Российской Федерации) может быть осуществлено управомоченной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br/>
              <w:t>
</w:t>
            </w:r>
          </w:p>
        </w:tc>
      </w:tr>
      <w:tr>
        <w:trPr>
          <w:trHeight w:val="93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 (пп. 1, 2 Статья 450.1. Гражданского Кодекса Российской Федерации).</w:t>
              <w:br/>
              <w:t>
</w:t>
              <w:br/>
              <w:t>
</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9. Заключительные положения</w:t>
            </w:r>
          </w:p>
        </w:tc>
      </w:tr>
      <w:tr>
        <w:trPr>
          <w:trHeight w:val="585"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9.1. Настоящий договор вступает в силу с момента его подписания и действует до момента окончания исполнения Сторонами договора своих обязательств по нему.</w:t>
            </w:r>
          </w:p>
        </w:tc>
      </w:tr>
      <w:tr>
        <w:trPr>
          <w:trHeight w:val="30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9.2. Сторонами договора рассмотрены все документы, подготовленные в связи с продажей имущества.</w:t>
            </w:r>
          </w:p>
        </w:tc>
      </w:tr>
      <w:tr>
        <w:trPr>
          <w:trHeight w:val="27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9.3. Настоящий Договор составлен в 2-х экземплярах, имеющих одинаковую юридическую силу.</w:t>
            </w:r>
          </w:p>
        </w:tc>
      </w:tr>
      <w:tr>
        <w:trPr>
          <w:trHeight w:val="990" w:hRule="exact"/>
        </w:trPr>
        <w:tc>
          <w:tcPr>
            <w:tcW w:w="10395" w:type="dxa"/>
            <w:gridSpan w:val="11"/>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 xml:space="preserve">               9.4. По всем вопросам, не нашедшим решения в условиях настоящего договора, но прямо или косвенно вытекающим из отношений Сторон по нему, затрагивающих имущественные интересы и деловую репутацию Сторон настоящего договора, имея в виду необходимости защиты их охраняемых законом прав и интересов, Стороны настоящего договора будут руководствоваться нормами и положениями действующего законодательства Российской Федерации.</w:t>
            </w:r>
          </w:p>
        </w:tc>
      </w:tr>
      <w:tr>
        <w:trPr>
          <w:trHeight w:val="285" w:hRule="exact"/>
        </w:trPr>
        <w:tc>
          <w:tcPr>
            <w:tcW w:w="10395" w:type="dxa"/>
            <w:gridSpan w:val="11"/>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10. Реквизиты и подписи Сторон</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Продавец:</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Покупатель:</w:t>
            </w:r>
          </w:p>
        </w:tc>
      </w:tr>
      <w:tr>
        <w:trPr>
          <w:trHeight w:val="285" w:hRule="exact"/>
        </w:trPr>
        <w:tc>
          <w:tcPr>
            <w:tcW w:w="4725" w:type="dxa"/>
            <w:gridSpan w:val="5"/>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c>
          <w:tcPr>
            <w:tcW w:w="5670" w:type="dxa"/>
            <w:gridSpan w:val="6"/>
            <w:shd w:val="clear" w:color="FFFFFF" w:fill="auto"/>
            <w:textDirection w:val="lrTb"/>
            <w:vAlign w:val="bottom"/>
          </w:tcPr>
          <w:p>
            <w:pPr>
              <w:wordWrap w:val="1"/>
              <w:jc w:val="center"/>
              <w:rPr>
                <w:rFonts w:ascii="Times New Roman" w:hAnsi="Times New Roman"/>
                <w:b/>
                <w:sz w:val="20"/>
                <w:szCs w:val="20"/>
              </w:rPr>
            </w:pPr>
            <w:r>
              <w:rPr>
                <w:rFonts w:ascii="Times New Roman" w:hAnsi="Times New Roman"/>
                <w:b/>
                <w:sz w:val="20"/>
                <w:szCs w:val="20"/>
              </w:rPr>
              <w:t>Гражданин РФ</w:t>
            </w:r>
          </w:p>
        </w:tc>
      </w:tr>
      <w:tr>
        <w:trPr>
          <w:trHeight w:val="1935"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Бессонова Светлана Владимировна (09.07.1984г.р., место рожд: пос. Боровской Пыщугский р-н Костромская обл., адрес рег: 157632, Костромская обл, Пыщугский р-н, Боровской п, Октябрьская ул, дом № 3, квартира 1, СНИЛС10958115563, ИНН 442500503997, паспорт РФ серия 3417, номер 246809, выдан 23.08.2018, кем выдан УМВД России по Костромской области, код подразделения 440-023)</w:t>
            </w:r>
          </w:p>
        </w:tc>
        <w:tc>
          <w:tcPr>
            <w:tcW w:w="5670" w:type="dxa"/>
            <w:gridSpan w:val="6"/>
            <w:vMerge w:val="restart"/>
            <w:shd w:val="clear" w:color="FFFFFF" w:fill="auto"/>
            <w:textDirection w:val="lrTb"/>
            <w:vAlign w:val="top"/>
          </w:tcPr>
          <w:p>
            <w:pPr>
              <w:wordWrap w:val="1"/>
              <w:jc w:val="both"/>
              <w:rPr>
                <w:rFonts w:ascii="Times New Roman" w:hAnsi="Times New Roman"/>
                <w:b/>
                <w:sz w:val="20"/>
                <w:szCs w:val="20"/>
              </w:rPr>
            </w:pPr>
          </w:p>
        </w:tc>
      </w:tr>
      <w:tr>
        <w:trPr>
          <w:trHeight w:val="2175" w:hRule="exact"/>
        </w:trPr>
        <w:tc>
          <w:tcPr>
            <w:tcW w:w="4725" w:type="dxa"/>
            <w:gridSpan w:val="5"/>
            <w:shd w:val="clear" w:color="FFFFFF" w:fill="auto"/>
            <w:textDirection w:val="lrTb"/>
            <w:vAlign w:val="bottom"/>
          </w:tcPr>
          <w:p>
            <w:pPr>
              <w:wordWrap w:val="1"/>
              <w:jc w:val="both"/>
              <w:rPr>
                <w:rFonts w:ascii="Times New Roman" w:hAnsi="Times New Roman"/>
                <w:sz w:val="20"/>
                <w:szCs w:val="20"/>
              </w:rPr>
            </w:pPr>
            <w:r>
              <w:rPr>
                <w:rFonts w:ascii="Times New Roman" w:hAnsi="Times New Roman"/>
                <w:sz w:val="20"/>
                <w:szCs w:val="20"/>
              </w:rPr>
              <w:t>Наименование банка: ФИЛИАЛ "ЦЕНТРАЛЬНЫЙ" ПАО "СОВКОМБАНК" </w:t>
              <w:br/>
              <w:t>
ИНН 4401116480</w:t>
              <w:br/>
              <w:t>
ОГРН 1144400000425</w:t>
              <w:br/>
              <w:t>
БИК 045004763</w:t>
              <w:br/>
              <w:t>
КПП 440101001</w:t>
              <w:br/>
              <w:t>
к/сч 30101810150040000763</w:t>
              <w:br/>
              <w:t>
счет Бессоновой Светланы Владимировны 40817810750173696894</w:t>
            </w: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945" w:type="dxa"/>
            <w:shd w:val="clear" w:color="FFFFFF" w:fill="auto"/>
            <w:textDirection w:val="lrTb"/>
            <w:vAlign w:val="bottom"/>
          </w:tcPr>
          <w:p>
            <w:pPr>
              <w:wordWrap w:val="1"/>
              <w:jc w:val="both"/>
              <w:rPr>
                <w:rFonts w:ascii="Times New Roman" w:hAnsi="Times New Roman"/>
                <w:sz w:val="20"/>
                <w:szCs w:val="20"/>
              </w:rPr>
            </w:pPr>
          </w:p>
        </w:tc>
        <w:tc>
          <w:tcPr>
            <w:tcW w:w="5670" w:type="dxa"/>
            <w:gridSpan w:val="6"/>
            <w:vMerge w:val="continue"/>
            <w:shd w:val="clear" w:color="FFFFFF" w:fill="auto"/>
            <w:textDirection w:val="lrTb"/>
            <w:vAlign w:val="top"/>
          </w:tcPr>
          <w:p>
            <w:pPr>
              <w:wordWrap w:val="1"/>
              <w:jc w:val="both"/>
              <w:rPr>
                <w:rFonts w:ascii="Times New Roman" w:hAnsi="Times New Roman"/>
                <w:b/>
                <w:sz w:val="20"/>
                <w:szCs w:val="20"/>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Финансовый управляющий</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4725" w:type="dxa"/>
            <w:gridSpan w:val="5"/>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Бессоновой Светланы Владимировны</w:t>
            </w: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00" w:hRule="exact"/>
        </w:trPr>
        <w:tc>
          <w:tcPr>
            <w:tcW w:w="945" w:type="dxa"/>
            <w:shd w:val="clear" w:color="FFFFFF" w:fill="auto"/>
            <w:textDirection w:val="lrTb"/>
            <w:vAlign w:val="bottom"/>
          </w:tcPr>
          <w:p>
            <w:pPr>
              <w:wordWrap w:val="1"/>
              <w:jc w:val="both"/>
              <w:rPr>
                <w:rFonts w:ascii="Times New Roman" w:hAnsi="Times New Roman"/>
                <w:b/>
                <w:sz w:val="20"/>
                <w:szCs w:val="20"/>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c>
          <w:tcPr>
            <w:tcW w:w="945" w:type="dxa"/>
            <w:shd w:val="clear" w:color="FFFFFF" w:fill="auto"/>
            <w:textDirection w:val="lrTb"/>
            <w:vAlign w:val="bottom"/>
          </w:tcPr>
          <w:p>
            <w:pPr>
              <w:wordWrap w:val="1"/>
              <w:jc w:val="both"/>
              <w:rPr>
                <w:rFonts w:ascii="Times New Roman" w:hAnsi="Times New Roman"/>
                <w:sz w:val="22"/>
                <w:szCs w:val="22"/>
              </w:rPr>
            </w:pPr>
          </w:p>
        </w:tc>
      </w:tr>
      <w:tr>
        <w:trPr>
          <w:trHeight w:val="360" w:hRule="exact"/>
        </w:trPr>
        <w:tc>
          <w:tcPr>
            <w:tcW w:w="2835" w:type="dxa"/>
            <w:gridSpan w:val="3"/>
            <w:shd w:val="clear" w:color="FFFFFF" w:fill="auto"/>
            <w:textDirection w:val="lrTb"/>
            <w:vAlign w:val="bottom"/>
          </w:tcPr>
          <w:p>
            <w:pPr>
              <w:wordWrap w:val="1"/>
              <w:jc w:val="both"/>
              <w:rPr>
                <w:rFonts w:ascii="Times New Roman" w:hAnsi="Times New Roman"/>
                <w:b/>
                <w:sz w:val="20"/>
                <w:szCs w:val="20"/>
              </w:rPr>
            </w:pPr>
            <w:r>
              <w:rPr>
                <w:rFonts w:ascii="Times New Roman" w:hAnsi="Times New Roman"/>
                <w:b/>
                <w:sz w:val="20"/>
                <w:szCs w:val="20"/>
              </w:rPr>
              <w:t>Мякишкова Юлия Николаевна</w:t>
            </w:r>
          </w:p>
        </w:tc>
        <w:tc>
          <w:tcPr>
            <w:tcW w:w="1890" w:type="dxa"/>
            <w:gridSpan w:val="2"/>
            <w:shd w:val="clear" w:color="FFFFFF" w:fill="auto"/>
            <w:textDirection w:val="lrTb"/>
            <w:vAlign w:val="bottom"/>
          </w:tcPr>
          <w:p>
            <w:pPr>
              <w:wordWrap w:val="1"/>
              <w:jc w:val="both"/>
              <w:rPr>
                <w:rFonts w:ascii="Times New Roman" w:hAnsi="Times New Roman"/>
                <w:sz w:val="22"/>
                <w:szCs w:val="22"/>
              </w:rPr>
            </w:pPr>
            <w:r>
              <w:rPr>
                <w:rFonts w:ascii="Times New Roman" w:hAnsi="Times New Roman"/>
                <w:sz w:val="22"/>
                <w:szCs w:val="22"/>
              </w:rPr>
              <w:t>______________</w:t>
            </w:r>
          </w:p>
        </w:tc>
        <w:tc>
          <w:tcPr>
            <w:tcW w:w="5670" w:type="dxa"/>
            <w:gridSpan w:val="6"/>
            <w:shd w:val="clear" w:color="FFFFFF" w:fill="auto"/>
            <w:textDirection w:val="lrTb"/>
            <w:vAlign w:val="bottom"/>
          </w:tcPr>
          <w:p>
            <w:pPr>
              <w:wordWrap w:val="1"/>
              <w:jc w:val="both"/>
              <w:rPr>
                <w:rFonts w:ascii="Times New Roman" w:hAnsi="Times New Roman"/>
                <w:b/>
                <w:sz w:val="20"/>
                <w:szCs w:val="20"/>
              </w:rPr>
            </w:pPr>
          </w:p>
        </w:tc>
      </w:tr>
    </w:tbl>
    <w:sectPr>
      <w:pgSz w:w="11907" w:h="16839" w:orient="portrait"/>
      <w:pgMar w:top="567" w:right="567" w:bottom="567" w:left="567"/>
    </w:sectPr>
  </w:body>
</w:document>
</file>

<file path=word/settings.xml><?xml version="1.0" encoding="utf-8"?>
<w:settings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view w:val="normal"/>
  <w:zoom w:percent="100"/>
</w:settings>
</file>

<file path=word/styles.xml><?xml version="1.0" encoding="utf-8"?>
<w:styles xmlns:r="http://schemas.openxmlformats.org/officeDocument/2006/relationships" xmlns:w="http://schemas.openxmlformats.org/wordprocessingml/2006/main">
  <w:style w:type="table" w:styleId="TableStyle0">
    <w:name w:val="TableStyle0"/>
    <w:pPr>
      <w:spacing w:after="0" w:line="240" w:lineRule="auto"/>
    </w:pPr>
    <w:rPr>
      <w:rFonts w:ascii="Arial" w:hAnsi="Arial"/>
      <w:sz w:val="16"/>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8" Type="http://schemas.openxmlformats.org/officeDocument/2006/relationships/header" Target="header1.xml"/>
	<Relationship Id="rId9" Type="http://schemas.openxmlformats.org/officeDocument/2006/relationships/footer" Target="footer1.xml"/>
	<Relationship Id="rId10" Type="http://schemas.openxmlformats.org/officeDocument/2006/relationships/header" Target="header2.xml"/>
	<Relationship Id="rId11" Type="http://schemas.openxmlformats.org/officeDocument/2006/relationships/footer" Target="footer2.xml"/>
</Relationships>
</file>