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9847" w14:textId="239BF004" w:rsidR="00AF4511" w:rsidRPr="002C6FBC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>8 (800) 777 5757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F0C6D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6F0C6D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6F0C6D">
        <w:rPr>
          <w:rFonts w:ascii="Times New Roman" w:hAnsi="Times New Roman" w:cs="Times New Roman"/>
          <w:sz w:val="20"/>
          <w:szCs w:val="20"/>
        </w:rPr>
        <w:t>auction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F0C6D">
        <w:rPr>
          <w:rFonts w:ascii="Times New Roman" w:hAnsi="Times New Roman" w:cs="Times New Roman"/>
          <w:sz w:val="20"/>
          <w:szCs w:val="20"/>
        </w:rPr>
        <w:t>house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6F0C6D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6F0C6D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6F0C6D" w:rsidRPr="006F0C6D">
        <w:rPr>
          <w:rFonts w:ascii="Times New Roman" w:hAnsi="Times New Roman" w:cs="Times New Roman"/>
          <w:b/>
          <w:sz w:val="20"/>
          <w:szCs w:val="20"/>
          <w:lang w:val="ru-RU"/>
        </w:rPr>
        <w:t>ОАО «ИКМА»</w:t>
      </w:r>
      <w:r w:rsidR="0049569B" w:rsidRPr="006F0C6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6F0C6D" w:rsidRPr="006F0C6D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7711037272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6F0C6D"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Богданова С.А. </w:t>
      </w:r>
      <w:r w:rsidR="0049569B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>182908505839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– К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У), член 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>ААУ «СИРИУС»</w:t>
      </w:r>
      <w:r w:rsidR="0049569B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>5043069006</w:t>
      </w:r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6F0C6D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5E4B93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решения </w:t>
      </w:r>
      <w:r w:rsidR="006F0C6D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от 07.05.2018 и </w:t>
      </w:r>
      <w:r w:rsidR="00834A4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6F0C6D" w:rsidRPr="00FB61B5">
        <w:rPr>
          <w:rFonts w:ascii="Times New Roman" w:hAnsi="Times New Roman" w:cs="Times New Roman"/>
          <w:sz w:val="20"/>
          <w:szCs w:val="20"/>
          <w:lang w:val="ru-RU"/>
        </w:rPr>
        <w:t>пределения от 12.08.2021 Арбитражного суда г. Москвы по делу №А40-38632/15-178-116 «Б»</w:t>
      </w:r>
      <w:r w:rsidR="00957EC1" w:rsidRPr="00FB61B5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FB61B5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FB61B5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26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7E2039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оформляется протоколом об</w:t>
      </w:r>
      <w:r w:rsidR="00A732CD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AD0137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1 – </w:t>
      </w:r>
      <w:r w:rsidR="002C6FB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289 916 964,21 </w:t>
      </w:r>
      <w:r w:rsidR="0014778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133E8DD9" w14:textId="03F9423C" w:rsidR="00AF4511" w:rsidRPr="00FB61B5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r w:rsidR="00A5385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08</w:t>
      </w:r>
      <w:r w:rsidR="00A5385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FB61B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A53855" w:rsidRPr="00FB61B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г., оформляется протоколом об определении участников торгов. 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940788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260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925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267,79</w:t>
      </w:r>
      <w:r w:rsidR="007650DC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53855" w:rsidRPr="00FB61B5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61D47E32" w14:textId="52F3F759" w:rsidR="00305A1E" w:rsidRPr="002C6FBC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</w:t>
      </w:r>
      <w:r w:rsidRPr="004A556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торги посредством публичного предложения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 – 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FB61B5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01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940788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09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FB61B5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FB61B5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, с</w:t>
      </w:r>
      <w:r w:rsidR="00315A91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59434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по 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10</w:t>
      </w:r>
      <w:r w:rsidR="0059434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периоды – 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594348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7650DC" w:rsidRPr="00FB61B5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="00594348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</w:t>
      </w:r>
      <w:r w:rsidR="00940788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5% от нач. цены публичного предложения на 1-м периоде Торгов ППП</w:t>
      </w:r>
      <w:r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940788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143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508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897,28</w:t>
      </w:r>
      <w:r w:rsidR="007650DC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Pr="008C491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</w:t>
      </w:r>
      <w:r w:rsidRPr="002C6FB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2C6FB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2C6FB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2C6FB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2C6FB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2C6FB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2FFA1F21" w14:textId="77777777" w:rsidR="00AD0137" w:rsidRPr="002C6FBC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C6FBC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1D116D71" w14:textId="44BBDE11" w:rsidR="00A17F4C" w:rsidRPr="0085026F" w:rsidRDefault="008E43BD" w:rsidP="0085026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bookmarkStart w:id="0" w:name="_Hlk166853281"/>
      <w:r w:rsidRPr="002C6FBC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2C6F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C6FBC" w:rsidRPr="002C6FBC">
        <w:rPr>
          <w:rFonts w:ascii="Times New Roman" w:hAnsi="Times New Roman" w:cs="Times New Roman"/>
          <w:sz w:val="20"/>
          <w:szCs w:val="20"/>
          <w:lang w:val="ru-RU"/>
        </w:rPr>
        <w:t xml:space="preserve">Дебиторская задолженность к 30 дебиторам в размере 289 916 964,21 руб. </w:t>
      </w:r>
      <w:bookmarkEnd w:id="0"/>
      <w:r w:rsidR="006F0C6D" w:rsidRPr="002C6FBC">
        <w:rPr>
          <w:rFonts w:ascii="Times New Roman" w:hAnsi="Times New Roman" w:cs="Times New Roman"/>
          <w:sz w:val="20"/>
          <w:szCs w:val="20"/>
          <w:lang w:val="ru-RU"/>
        </w:rPr>
        <w:t xml:space="preserve">Подробный перечень реализуемого имущества </w:t>
      </w:r>
      <w:r w:rsidR="006F0C6D" w:rsidRPr="0085026F">
        <w:rPr>
          <w:rFonts w:ascii="Times New Roman" w:hAnsi="Times New Roman" w:cs="Times New Roman"/>
          <w:sz w:val="20"/>
          <w:szCs w:val="20"/>
          <w:lang w:val="ru-RU"/>
        </w:rPr>
        <w:t xml:space="preserve">опубликован в Едином федеральном реестре сведений о банкротстве по адресу </w:t>
      </w:r>
      <w:hyperlink r:id="rId9" w:history="1"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</w:t>
        </w:r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://</w:t>
        </w:r>
        <w:proofErr w:type="spellStart"/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fedresurs</w:t>
        </w:r>
        <w:proofErr w:type="spellEnd"/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ru</w:t>
        </w:r>
        <w:proofErr w:type="spellEnd"/>
        <w:r w:rsidR="006F0C6D" w:rsidRPr="0085026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/</w:t>
        </w:r>
      </w:hyperlink>
      <w:r w:rsidR="006F0C6D" w:rsidRPr="0085026F">
        <w:rPr>
          <w:rFonts w:ascii="Times New Roman" w:hAnsi="Times New Roman" w:cs="Times New Roman"/>
          <w:sz w:val="20"/>
          <w:szCs w:val="20"/>
          <w:lang w:val="ru-RU"/>
        </w:rPr>
        <w:t>, а также на сайте ЭП.</w:t>
      </w:r>
      <w:r w:rsidR="008502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17F4C" w:rsidRPr="0085026F">
        <w:rPr>
          <w:rFonts w:ascii="Times New Roman" w:hAnsi="Times New Roman" w:cs="Times New Roman"/>
          <w:sz w:val="20"/>
          <w:szCs w:val="20"/>
          <w:lang w:val="ru-RU" w:bidi="ru-RU"/>
        </w:rPr>
        <w:t xml:space="preserve">По </w:t>
      </w:r>
      <w:r w:rsidR="0085026F">
        <w:rPr>
          <w:rFonts w:ascii="Times New Roman" w:hAnsi="Times New Roman" w:cs="Times New Roman"/>
          <w:sz w:val="20"/>
          <w:szCs w:val="20"/>
          <w:lang w:val="ru-RU" w:bidi="ru-RU"/>
        </w:rPr>
        <w:t>Л</w:t>
      </w:r>
      <w:r w:rsidR="00A17F4C" w:rsidRPr="0085026F">
        <w:rPr>
          <w:rFonts w:ascii="Times New Roman" w:hAnsi="Times New Roman" w:cs="Times New Roman"/>
          <w:sz w:val="20"/>
          <w:szCs w:val="20"/>
          <w:lang w:val="ru-RU" w:bidi="ru-RU"/>
        </w:rPr>
        <w:t>оту 1 в ходе Торгов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</w:t>
      </w:r>
      <w:r w:rsidR="0085026F" w:rsidRPr="0085026F">
        <w:rPr>
          <w:rFonts w:ascii="Times New Roman" w:hAnsi="Times New Roman" w:cs="Times New Roman"/>
          <w:sz w:val="20"/>
          <w:szCs w:val="20"/>
          <w:lang w:val="ru-RU" w:bidi="ru-RU"/>
        </w:rPr>
        <w:t>,</w:t>
      </w:r>
      <w:r w:rsidR="00A17F4C" w:rsidRPr="0085026F">
        <w:rPr>
          <w:rFonts w:ascii="Times New Roman" w:hAnsi="Times New Roman" w:cs="Times New Roman"/>
          <w:sz w:val="20"/>
          <w:szCs w:val="20"/>
          <w:lang w:val="ru-RU" w:bidi="ru-RU"/>
        </w:rPr>
        <w:t xml:space="preserve"> существующее на момент заключения договора.</w:t>
      </w:r>
    </w:p>
    <w:p w14:paraId="29A5D30D" w14:textId="748CC588" w:rsidR="00F32B01" w:rsidRPr="00505D6A" w:rsidRDefault="00F32B01" w:rsidP="00AD013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85026F">
        <w:rPr>
          <w:rFonts w:ascii="Times New Roman" w:hAnsi="Times New Roman" w:cs="Times New Roman"/>
          <w:sz w:val="20"/>
          <w:szCs w:val="20"/>
          <w:lang w:val="ru-RU" w:bidi="ru-RU"/>
        </w:rPr>
        <w:t>Ознакомление</w:t>
      </w:r>
      <w:r w:rsidRPr="00505D6A">
        <w:rPr>
          <w:rFonts w:ascii="Times New Roman" w:hAnsi="Times New Roman" w:cs="Times New Roman"/>
          <w:sz w:val="20"/>
          <w:szCs w:val="20"/>
          <w:lang w:val="ru-RU" w:bidi="ru-RU"/>
        </w:rPr>
        <w:t xml:space="preserve"> с документами в отношении Лот</w:t>
      </w:r>
      <w:r w:rsidR="002C6FBC" w:rsidRPr="00505D6A">
        <w:rPr>
          <w:rFonts w:ascii="Times New Roman" w:hAnsi="Times New Roman" w:cs="Times New Roman"/>
          <w:sz w:val="20"/>
          <w:szCs w:val="20"/>
          <w:lang w:val="ru-RU" w:bidi="ru-RU"/>
        </w:rPr>
        <w:t>а</w:t>
      </w:r>
      <w:r w:rsidRPr="00505D6A">
        <w:rPr>
          <w:rFonts w:ascii="Times New Roman" w:hAnsi="Times New Roman" w:cs="Times New Roman"/>
          <w:sz w:val="20"/>
          <w:szCs w:val="20"/>
          <w:lang w:val="ru-RU" w:bidi="ru-RU"/>
        </w:rPr>
        <w:t xml:space="preserve"> производится по предварительной договоренности в рабочие дни </w:t>
      </w:r>
      <w:r w:rsidR="002C6FBC" w:rsidRPr="00505D6A">
        <w:rPr>
          <w:rFonts w:ascii="Times New Roman" w:hAnsi="Times New Roman" w:cs="Times New Roman"/>
          <w:sz w:val="20"/>
          <w:szCs w:val="20"/>
          <w:lang w:val="ru-RU" w:bidi="ru-RU"/>
        </w:rPr>
        <w:t xml:space="preserve">с 12:00 до 16:00, тел.: 8(906)012-36-55, эл. почта: </w:t>
      </w:r>
      <w:hyperlink r:id="rId10" w:history="1">
        <w:r w:rsidR="002C6FBC" w:rsidRPr="00505D6A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bogdanov-torgi@yandex.ru</w:t>
        </w:r>
      </w:hyperlink>
      <w:r w:rsidR="002C6FBC" w:rsidRPr="00505D6A">
        <w:rPr>
          <w:rFonts w:ascii="Times New Roman" w:hAnsi="Times New Roman" w:cs="Times New Roman"/>
          <w:sz w:val="20"/>
          <w:szCs w:val="20"/>
          <w:lang w:val="ru-RU" w:bidi="ru-RU"/>
        </w:rPr>
        <w:t>, а также у ОТ</w:t>
      </w:r>
      <w:r w:rsidR="00DB0EDD" w:rsidRPr="00505D6A">
        <w:rPr>
          <w:rFonts w:ascii="Times New Roman" w:hAnsi="Times New Roman" w:cs="Times New Roman"/>
          <w:sz w:val="20"/>
          <w:szCs w:val="20"/>
          <w:lang w:val="ru-RU" w:bidi="ru-RU"/>
        </w:rPr>
        <w:t>:</w:t>
      </w:r>
      <w:r w:rsidR="00AD0137" w:rsidRPr="00505D6A">
        <w:rPr>
          <w:rFonts w:ascii="Times New Roman" w:hAnsi="Times New Roman" w:cs="Times New Roman"/>
          <w:sz w:val="20"/>
          <w:szCs w:val="20"/>
          <w:lang w:val="ru-RU" w:bidi="ru-RU"/>
        </w:rPr>
        <w:t xml:space="preserve"> 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тел. 7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(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916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)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864-57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>-</w:t>
      </w:r>
      <w:r w:rsidR="00505D6A" w:rsidRPr="00505D6A">
        <w:rPr>
          <w:rFonts w:ascii="Times New Roman" w:hAnsi="Times New Roman" w:cs="Times New Roman"/>
          <w:sz w:val="20"/>
          <w:szCs w:val="20"/>
          <w:lang w:val="ru-RU" w:bidi="ru-RU"/>
        </w:rPr>
        <w:t xml:space="preserve">10, эл. почта: </w:t>
      </w:r>
      <w:hyperlink r:id="rId11" w:history="1">
        <w:r w:rsidR="00505D6A" w:rsidRPr="00505D6A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kanivec@auction-house.ru</w:t>
        </w:r>
      </w:hyperlink>
      <w:r w:rsidR="00AD0137" w:rsidRPr="00505D6A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599E6387" w14:textId="43CA0F52" w:rsidR="00F32B01" w:rsidRPr="00BA505D" w:rsidRDefault="00957EC1" w:rsidP="00BA505D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6F0C6D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6F0C6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6F0C6D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6F0C6D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6F0C6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6F0C6D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6F0C6D">
        <w:rPr>
          <w:rFonts w:ascii="Times New Roman" w:hAnsi="Times New Roman" w:cs="Times New Roman"/>
          <w:b/>
          <w:sz w:val="20"/>
          <w:szCs w:val="20"/>
          <w:lang w:val="ru-RU"/>
        </w:rPr>
        <w:t>оргов ППП – 10</w:t>
      </w:r>
      <w:r w:rsidR="005160D8" w:rsidRPr="006F0C6D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6F0C6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6F0C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6F0C6D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6F0C6D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6F0C6D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</w:t>
      </w:r>
      <w:r w:rsidR="005160D8" w:rsidRPr="00D50825">
        <w:rPr>
          <w:rFonts w:ascii="Times New Roman" w:hAnsi="Times New Roman" w:cs="Times New Roman"/>
          <w:sz w:val="20"/>
          <w:szCs w:val="20"/>
          <w:lang w:val="ru-RU"/>
        </w:rPr>
        <w:t>окончания приема за</w:t>
      </w:r>
      <w:r w:rsidR="00622CD7" w:rsidRPr="00D50825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D50825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DE2CE1" w:rsidRPr="00D50825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DB0EDD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2CE1" w:rsidRPr="00D50825">
        <w:rPr>
          <w:rFonts w:ascii="Times New Roman" w:hAnsi="Times New Roman" w:cs="Times New Roman"/>
          <w:sz w:val="20"/>
          <w:szCs w:val="20"/>
          <w:lang w:val="ru-RU"/>
        </w:rPr>
        <w:t>Средства для проведения операций по обеспечению участия в электронны</w:t>
      </w:r>
      <w:r w:rsidR="00DB0EDD" w:rsidRPr="00D50825">
        <w:rPr>
          <w:rFonts w:ascii="Times New Roman" w:hAnsi="Times New Roman" w:cs="Times New Roman"/>
          <w:sz w:val="20"/>
          <w:szCs w:val="20"/>
          <w:lang w:val="ru-RU"/>
        </w:rPr>
        <w:t>х процедурах. НДС не облагается</w:t>
      </w:r>
      <w:r w:rsidR="00DE2CE1" w:rsidRPr="00D50825">
        <w:rPr>
          <w:rFonts w:ascii="Times New Roman" w:hAnsi="Times New Roman" w:cs="Times New Roman"/>
          <w:sz w:val="20"/>
          <w:szCs w:val="20"/>
          <w:lang w:val="ru-RU"/>
        </w:rPr>
        <w:t>».</w:t>
      </w:r>
      <w:r w:rsidR="00DB0EDD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D50825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D50825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D50825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D50825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оргах, содержащую предложение 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lastRenderedPageBreak/>
        <w:t>о цене Лота, которая не ниже нач</w:t>
      </w:r>
      <w:r w:rsidR="002A1222" w:rsidRPr="00D5082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D5082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D5082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D50825">
        <w:rPr>
          <w:rFonts w:ascii="Times New Roman" w:hAnsi="Times New Roman" w:cs="Times New Roman"/>
          <w:sz w:val="20"/>
          <w:szCs w:val="20"/>
          <w:lang w:val="ru-RU"/>
        </w:rPr>
        <w:t xml:space="preserve">оргов представили в установленный срок заявки, содержащие равные предложения о 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>цене Лота, но не ниже нач</w:t>
      </w:r>
      <w:r w:rsidR="002A1222" w:rsidRPr="00B7272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7272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0825" w:rsidRPr="00B72727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</w:t>
      </w:r>
      <w:r w:rsidR="00D50825" w:rsidRPr="00B72727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B72727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B72727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0825" w:rsidRPr="00B72727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B72727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BA505D"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спец. </w:t>
      </w:r>
      <w:r w:rsidRPr="00B72727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B72727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40702810000000330391</w:t>
      </w:r>
      <w:r w:rsidR="00BA505D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</w:t>
      </w:r>
      <w:r w:rsidR="0049335B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B72727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ПАО «ПРОМСВЯЗЬБАНК» г. Москва</w:t>
      </w:r>
      <w:r w:rsidR="00F50EC2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B72727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30101810400000000555</w:t>
      </w:r>
      <w:r w:rsidR="00F50EC2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B72727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044525555</w:t>
      </w:r>
      <w:r w:rsidR="0049335B" w:rsidRPr="00B727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F32B01" w:rsidRPr="00BA505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C357" w14:textId="77777777" w:rsidR="007F2648" w:rsidRDefault="007F2648" w:rsidP="00FE1E33">
      <w:r>
        <w:separator/>
      </w:r>
    </w:p>
  </w:endnote>
  <w:endnote w:type="continuationSeparator" w:id="0">
    <w:p w14:paraId="327E8AAD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08A9" w14:textId="77777777" w:rsidR="007F2648" w:rsidRDefault="007F2648" w:rsidP="00FE1E33">
      <w:r>
        <w:separator/>
      </w:r>
    </w:p>
  </w:footnote>
  <w:footnote w:type="continuationSeparator" w:id="0">
    <w:p w14:paraId="1E72F206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4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1F21BD"/>
    <w:rsid w:val="00201387"/>
    <w:rsid w:val="00203371"/>
    <w:rsid w:val="002109D8"/>
    <w:rsid w:val="00220D13"/>
    <w:rsid w:val="00231CB8"/>
    <w:rsid w:val="00273968"/>
    <w:rsid w:val="00275D24"/>
    <w:rsid w:val="002A1222"/>
    <w:rsid w:val="002C6FBC"/>
    <w:rsid w:val="00305A1E"/>
    <w:rsid w:val="00315A91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60523"/>
    <w:rsid w:val="00487F3A"/>
    <w:rsid w:val="0049335B"/>
    <w:rsid w:val="0049569B"/>
    <w:rsid w:val="004A556D"/>
    <w:rsid w:val="004C427D"/>
    <w:rsid w:val="004C645B"/>
    <w:rsid w:val="004D3058"/>
    <w:rsid w:val="004D4886"/>
    <w:rsid w:val="004F0F59"/>
    <w:rsid w:val="005041D2"/>
    <w:rsid w:val="00505D6A"/>
    <w:rsid w:val="00515D05"/>
    <w:rsid w:val="005160D8"/>
    <w:rsid w:val="00556B26"/>
    <w:rsid w:val="0056183E"/>
    <w:rsid w:val="00565CA3"/>
    <w:rsid w:val="00573F80"/>
    <w:rsid w:val="00594348"/>
    <w:rsid w:val="005B277C"/>
    <w:rsid w:val="005E4B93"/>
    <w:rsid w:val="005F3E56"/>
    <w:rsid w:val="00622CD7"/>
    <w:rsid w:val="00642A4F"/>
    <w:rsid w:val="00654E9C"/>
    <w:rsid w:val="00677E82"/>
    <w:rsid w:val="006C50C1"/>
    <w:rsid w:val="006F0C6D"/>
    <w:rsid w:val="0071333C"/>
    <w:rsid w:val="00741C0B"/>
    <w:rsid w:val="00747530"/>
    <w:rsid w:val="00752C20"/>
    <w:rsid w:val="007650DC"/>
    <w:rsid w:val="007A1C16"/>
    <w:rsid w:val="007A1E86"/>
    <w:rsid w:val="007C3AA0"/>
    <w:rsid w:val="007D0894"/>
    <w:rsid w:val="007E2039"/>
    <w:rsid w:val="007F2648"/>
    <w:rsid w:val="00834A42"/>
    <w:rsid w:val="0085026F"/>
    <w:rsid w:val="008961A4"/>
    <w:rsid w:val="008A205E"/>
    <w:rsid w:val="008B00EC"/>
    <w:rsid w:val="008C3167"/>
    <w:rsid w:val="008C4911"/>
    <w:rsid w:val="008C7F27"/>
    <w:rsid w:val="008E43BD"/>
    <w:rsid w:val="00905B5F"/>
    <w:rsid w:val="00925A25"/>
    <w:rsid w:val="00927D1C"/>
    <w:rsid w:val="00934544"/>
    <w:rsid w:val="00940788"/>
    <w:rsid w:val="00942C91"/>
    <w:rsid w:val="00957EC1"/>
    <w:rsid w:val="00983EE8"/>
    <w:rsid w:val="00991CD8"/>
    <w:rsid w:val="00996278"/>
    <w:rsid w:val="009B28CB"/>
    <w:rsid w:val="009C45DA"/>
    <w:rsid w:val="009D1AB1"/>
    <w:rsid w:val="00A17F4C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72727"/>
    <w:rsid w:val="00BA505D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50825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60808"/>
    <w:rsid w:val="00EE2947"/>
    <w:rsid w:val="00F16B17"/>
    <w:rsid w:val="00F27CEE"/>
    <w:rsid w:val="00F32B01"/>
    <w:rsid w:val="00F41BB6"/>
    <w:rsid w:val="00F42103"/>
    <w:rsid w:val="00F50EC2"/>
    <w:rsid w:val="00F546EC"/>
    <w:rsid w:val="00F76F1A"/>
    <w:rsid w:val="00FA2C26"/>
    <w:rsid w:val="00FB61B5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2C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ivec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gdanov-torg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23</cp:revision>
  <cp:lastPrinted>2024-05-20T09:18:00Z</cp:lastPrinted>
  <dcterms:created xsi:type="dcterms:W3CDTF">2022-04-14T07:56:00Z</dcterms:created>
  <dcterms:modified xsi:type="dcterms:W3CDTF">2024-05-20T09:25:00Z</dcterms:modified>
</cp:coreProperties>
</file>