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Lines/>
        <w:keepNext/>
        <w:pageBreakBefore/>
        <w:spacing w:before="480"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0"/>
      </w:pPr>
      <w:r/>
      <w:bookmarkStart w:id="0" w:name="_Toc502257230"/>
      <w:r/>
      <w:bookmarkStart w:id="1" w:name="_Toc502257231"/>
      <w:r/>
      <w:bookmarkStart w:id="2" w:name="_Toc502257232"/>
      <w:r/>
      <w:bookmarkStart w:id="3" w:name="_Toc502257233"/>
      <w:r/>
      <w:bookmarkStart w:id="4" w:name="_Toc502257234"/>
      <w:r/>
      <w:bookmarkStart w:id="5" w:name="_Toc502257235"/>
      <w:r/>
      <w:bookmarkStart w:id="6" w:name="_Toc502257236"/>
      <w:r/>
      <w:bookmarkStart w:id="7" w:name="_Toc502257237"/>
      <w:r/>
      <w:bookmarkStart w:id="8" w:name="_Toc502257238"/>
      <w:r/>
      <w:bookmarkStart w:id="9" w:name="_Toc502257239"/>
      <w:r/>
      <w:bookmarkStart w:id="10" w:name="_Toc502257240"/>
      <w:r/>
      <w:bookmarkStart w:id="11" w:name="_Toc502257241"/>
      <w:r/>
      <w:bookmarkStart w:id="12" w:name="_Toc502257242"/>
      <w:r/>
      <w:bookmarkStart w:id="13" w:name="_Toc502257243"/>
      <w:r/>
      <w:bookmarkStart w:id="14" w:name="_Toc502257244"/>
      <w:r/>
      <w:bookmarkStart w:id="15" w:name="_Toc502257245"/>
      <w:r/>
      <w:bookmarkStart w:id="16" w:name="_Toc502257246"/>
      <w:r/>
      <w:bookmarkStart w:id="17" w:name="_Toc502257247"/>
      <w:r/>
      <w:bookmarkStart w:id="18" w:name="_Toc502257248"/>
      <w:r/>
      <w:bookmarkStart w:id="19" w:name="_Toc502257249"/>
      <w:r/>
      <w:bookmarkStart w:id="20" w:name="_Toc501038136"/>
      <w:r/>
      <w:bookmarkStart w:id="21" w:name="_Toc502257250"/>
      <w:r/>
      <w:bookmarkStart w:id="22" w:name="_Toc501038137"/>
      <w:r/>
      <w:bookmarkStart w:id="23" w:name="_Toc502257251"/>
      <w:r/>
      <w:bookmarkStart w:id="24" w:name="_Toc153370361"/>
      <w:r/>
      <w:bookmarkStart w:id="25" w:name="_Ref324332092"/>
      <w:r/>
      <w:bookmarkStart w:id="26" w:name="_Ref384123551"/>
      <w:r/>
      <w:bookmarkStart w:id="27" w:name="_Ref384123555"/>
      <w:r/>
      <w:bookmarkEnd w:id="0"/>
      <w:r/>
      <w:bookmarkEnd w:id="1"/>
      <w:r/>
      <w:bookmarkEnd w:id="2"/>
      <w:r/>
      <w:bookmarkEnd w:id="3"/>
      <w:r/>
      <w:bookmarkEnd w:id="4"/>
      <w:r/>
      <w:bookmarkEnd w:id="5"/>
      <w:r/>
      <w:bookmarkEnd w:id="6"/>
      <w:r/>
      <w:bookmarkEnd w:id="7"/>
      <w:r/>
      <w:bookmarkEnd w:id="8"/>
      <w:r/>
      <w:bookmarkEnd w:id="9"/>
      <w:r/>
      <w:bookmarkEnd w:id="10"/>
      <w:r/>
      <w:bookmarkEnd w:id="11"/>
      <w:r/>
      <w:bookmarkEnd w:id="12"/>
      <w:r/>
      <w:bookmarkEnd w:id="13"/>
      <w:r/>
      <w:bookmarkEnd w:id="14"/>
      <w:r/>
      <w:bookmarkEnd w:id="15"/>
      <w:r/>
      <w:bookmarkEnd w:id="16"/>
      <w:r/>
      <w:bookmarkEnd w:id="17"/>
      <w:r/>
      <w:bookmarkEnd w:id="18"/>
      <w:r/>
      <w:bookmarkEnd w:id="19"/>
      <w:r/>
      <w:bookmarkEnd w:id="20"/>
      <w:r/>
      <w:bookmarkEnd w:id="21"/>
      <w:r/>
      <w:bookmarkEnd w:id="22"/>
      <w:r/>
      <w:bookmarkEnd w:id="23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Извещение о проведении Аукциона на повышение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/>
        <w:t xml:space="preserve">на право заключения договора купли-продажи имущества</w:t>
      </w:r>
      <w:bookmarkEnd w:id="24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24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0"/>
      </w:pPr>
      <w:r/>
      <w:bookmarkStart w:id="28" w:name="_Toc153370362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АО «ДГК»</w:t>
      </w:r>
      <w:bookmarkEnd w:id="28"/>
      <w:r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tbl>
      <w:tblPr>
        <w:tblW w:w="992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852"/>
        <w:gridCol w:w="2408"/>
        <w:gridCol w:w="6661"/>
      </w:tblGrid>
      <w:tr>
        <w:tblPrEx/>
        <w:trPr/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br/>
              <w:t xml:space="preserve">п/п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408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Содержание пункта Извещения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Способ продажи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Аукцион на повышение (далее также – аукцион)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Продавец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Наименование (полное и сокращенное): Акционерное общество «Дальневосточная генерирующая компания» (АО «ДГК»)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Место нахождения: Российская Федерация, г. Хабаровск. Адрес: 680000, г. Хабаровск, ул. Фрунзе, 49.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Адрес для корреспонденции: 680000, Хабаровский край, г. Хабаровск, ул. Фрунзе, 49,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. 402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9" w:tooltip="mailto:dgk@dgk.ru" w:history="1">
              <w:r>
                <w:rPr>
                  <w:rFonts w:ascii="Times New Roman" w:hAnsi="Times New Roman" w:eastAsia="Times New Roman" w:cs="Times New Roman"/>
                  <w:sz w:val="26"/>
                  <w:szCs w:val="26"/>
                  <w:lang w:eastAsia="ru-RU"/>
                </w:rPr>
                <w:t xml:space="preserve">dgk@dgk.ru</w:t>
              </w:r>
            </w:hyperlink>
            <w:r/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120" w:line="240" w:lineRule="auto"/>
              <w:widowControl w:val="off"/>
              <w:tabs>
                <w:tab w:val="left" w:pos="426" w:leader="none"/>
              </w:tabs>
              <w:rPr>
                <w:rFonts w:ascii="Times New Roman" w:hAnsi="Times New Roman" w:eastAsia="Lucida Sans Unicode" w:cs="Times New Roman"/>
                <w:sz w:val="26"/>
                <w:szCs w:val="26"/>
                <w:shd w:val="clear" w:color="auto" w:fill="ffff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Контактный телефон/факс: 8 (4212) 30-49-14 / 26-43-59</w:t>
            </w:r>
            <w:r>
              <w:rPr>
                <w:rFonts w:ascii="Times New Roman" w:hAnsi="Times New Roman" w:eastAsia="Lucida Sans Unicode" w:cs="Times New Roman"/>
                <w:sz w:val="26"/>
                <w:szCs w:val="26"/>
                <w:shd w:val="clear" w:color="auto" w:fill="ffff99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/>
            <w:bookmarkStart w:id="29" w:name="_Ref514805111"/>
            <w:r/>
            <w:bookmarkEnd w:id="29"/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Организатор продажи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Наименование (полное и сокращенное): Акционерное общество «Дальневосточная генерирующая компания» (АО «ДГК»)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Место нахождения: Российская Федерация, г. Хабаровск. Адрес: 680000, г. Хабаровск, ул. Фрунзе, 49.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Адрес для корреспонденции: 680000, Хабаровский край, г. Хабаровск, ул. Фрунзе, 49,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. 402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10" w:tooltip="mailto:dgk@dgk.ru" w:history="1">
              <w:r>
                <w:rPr>
                  <w:rFonts w:ascii="Times New Roman" w:hAnsi="Times New Roman" w:eastAsia="Times New Roman" w:cs="Times New Roman"/>
                  <w:sz w:val="26"/>
                  <w:szCs w:val="26"/>
                  <w:lang w:eastAsia="ru-RU"/>
                </w:rPr>
                <w:t xml:space="preserve">dgk@dgk.ru</w:t>
              </w:r>
            </w:hyperlink>
            <w:r/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120" w:line="240" w:lineRule="auto"/>
              <w:widowControl w:val="off"/>
              <w:tabs>
                <w:tab w:val="left" w:pos="426" w:leader="none"/>
              </w:tabs>
              <w:rPr>
                <w:rFonts w:ascii="Times New Roman" w:hAnsi="Times New Roman" w:eastAsia="Lucida Sans Unicode" w:cs="Times New Roman"/>
                <w:sz w:val="26"/>
                <w:szCs w:val="26"/>
                <w:shd w:val="clear" w:color="auto" w:fill="ffff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Контактный телефон/факс: 8 (4212) 30-49-14 / 26-43-59</w:t>
            </w:r>
            <w:r>
              <w:rPr>
                <w:rFonts w:ascii="Times New Roman" w:hAnsi="Times New Roman" w:eastAsia="Lucida Sans Unicode" w:cs="Times New Roman"/>
                <w:sz w:val="26"/>
                <w:szCs w:val="26"/>
                <w:shd w:val="clear" w:color="auto" w:fill="ffff99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/>
            <w:bookmarkStart w:id="30" w:name="_Ref514805119"/>
            <w:r/>
            <w:bookmarkEnd w:id="30"/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Представитель Организатора продажи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Контактное лицо (Ф.И.О.): Коновалова Любовь Анатольевна, Иващенко Елена Сергеевна.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Контактный телефон: 8 (4212) 26-47-05, 8 (4212) 26-46-42, 8 – 914 – 406 – 29 – 51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120" w:line="240" w:lineRule="auto"/>
              <w:widowControl w:val="off"/>
              <w:tabs>
                <w:tab w:val="left" w:pos="426" w:leader="none"/>
              </w:tabs>
              <w:rPr>
                <w:rFonts w:ascii="Times New Roman" w:hAnsi="Times New Roman" w:eastAsia="Lucida Sans Unicode" w:cs="Times New Roman"/>
                <w:sz w:val="26"/>
                <w:szCs w:val="26"/>
                <w:shd w:val="clear" w:color="auto" w:fill="ffff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11" w:tooltip="mailto:konovalova-la@dgk.ru" w:history="1">
              <w:r>
                <w:rPr>
                  <w:rFonts w:ascii="Times New Roman" w:hAnsi="Times New Roman"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 xml:space="preserve">konovalova-la@dgk.ru</w:t>
              </w:r>
            </w:hyperlink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  </w:t>
            </w:r>
            <w:hyperlink r:id="rId12" w:tooltip="mailto:ivaschenko-es@dgk.ru" w:history="1">
              <w:r>
                <w:rPr>
                  <w:rFonts w:ascii="Times New Roman" w:hAnsi="Times New Roman"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 xml:space="preserve">ivaschenko-es@dgk.ru</w:t>
              </w:r>
            </w:hyperlink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Lucida Sans Unicode" w:cs="Times New Roman"/>
                <w:sz w:val="26"/>
                <w:szCs w:val="26"/>
                <w:shd w:val="clear" w:color="auto" w:fill="ffff99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/>
            <w:bookmarkStart w:id="31" w:name="_Ref514805016"/>
            <w:r/>
            <w:bookmarkEnd w:id="31"/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Наименование и адрес ЭТП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widowControl w:val="off"/>
              <w:tabs>
                <w:tab w:val="left" w:pos="426" w:leader="none"/>
              </w:tabs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Электронная торговая площадка Российский аукционный дом (ЭТП РАД), </w:t>
            </w:r>
            <w:hyperlink r:id="rId13" w:tooltip="https://lot-online.ru/" w:history="1">
              <w:r>
                <w:rPr>
                  <w:rFonts w:ascii="Times New Roman" w:hAnsi="Times New Roman"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 xml:space="preserve">https://lot-online.ru/</w:t>
              </w:r>
            </w:hyperlink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Предмет продажи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Комплекс объектов производственной базы по ул. Вагонной, г. Комсомольск-на Амуре, в составе: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- Крытая стоянка для автомобилей, к.н. 27:22:0000000:1621;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- Административно-бытовой корпус, к.н. 27:22:0000000:1620;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- Корпус бытовых вспомогательных помещений,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  к.н. 27:22:0000000:292;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- Проходная, к.н. 27:22:0000000:1039;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- Подъездная дорога и площадка для парковки базы № 2,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  к.н. 27:22:0000000:5120;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- Ограждение базы №2;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- Благоустройство внутренней территории Базы №2;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- Санитарно-техническое сооружение (септик).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Краткое описание Предмета продажи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Описание предмета продажи содержится в Документации о продаже.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Адрес местонахождения Предмета продажи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В соответствии с Документацией о продаже.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  <w14:ligatures w14:val="none"/>
              </w:rPr>
            </w:r>
          </w:p>
        </w:tc>
      </w:tr>
      <w:tr>
        <w:tblPrEx/>
        <w:trPr>
          <w:trHeight w:val="857"/>
        </w:trPr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/>
            <w:bookmarkStart w:id="32" w:name="_Ref523922333"/>
            <w:r/>
            <w:bookmarkEnd w:id="32"/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Начальная цена продажи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b w:val="0"/>
                <w:sz w:val="20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19 872 000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(Девятнадцать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миллионов восемьсот семьдесят две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тысячи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руб. 00 коп., с учетом НДС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Валюта Договора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widowControl w:val="off"/>
              <w:tabs>
                <w:tab w:val="left" w:pos="426" w:leader="none"/>
              </w:tabs>
              <w:rPr>
                <w:rFonts w:ascii="Times New Roman" w:hAnsi="Times New Roman" w:eastAsia="Lucida Sans Unicode" w:cs="Times New Roman"/>
                <w:i/>
                <w:sz w:val="26"/>
                <w:szCs w:val="26"/>
                <w:shd w:val="clear" w:color="auto" w:fill="ffff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Российский рубль</w:t>
            </w:r>
            <w:r>
              <w:rPr>
                <w:rFonts w:ascii="Times New Roman" w:hAnsi="Times New Roman" w:eastAsia="Lucida Sans Unicode" w:cs="Times New Roman"/>
                <w:i/>
                <w:sz w:val="26"/>
                <w:szCs w:val="26"/>
                <w:shd w:val="clear" w:color="auto" w:fill="ffff99"/>
                <w:lang w:eastAsia="ru-RU"/>
              </w:rPr>
            </w:r>
          </w:p>
        </w:tc>
      </w:tr>
      <w:tr>
        <w:tblPrEx/>
        <w:trPr>
          <w:trHeight w:val="2097"/>
        </w:trPr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/>
            <w:bookmarkStart w:id="33" w:name="_Hlk523925792"/>
            <w:r/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Участники Аукциона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vAlign w:val="center"/>
            <w:textDirection w:val="lrTb"/>
            <w:noWrap w:val="false"/>
          </w:tcPr>
          <w:p>
            <w:pPr>
              <w:jc w:val="both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Участвовать в аукционе может любое юридическо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чья заявка признана соответствующей требованиям Документации о продаже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.</w:t>
            </w:r>
            <w:bookmarkEnd w:id="33"/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Срок, место и порядок предоставления Документации о продаже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widowControl w:val="off"/>
              <w:tabs>
                <w:tab w:val="left" w:pos="426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Документация о продаже размещена на официальном сайте электронной торговой площадки Российский аукционный дом (ЭТП РАД) в сети Интернет </w:t>
            </w:r>
            <w:hyperlink r:id="rId14" w:tooltip="https://lot-online.ru/" w:history="1">
              <w:r>
                <w:rPr>
                  <w:rFonts w:ascii="Times New Roman" w:hAnsi="Times New Roman"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 xml:space="preserve">https://lot-online.ru/</w:t>
              </w:r>
            </w:hyperlink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Задаток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Информация о размере и условиях предоставления задатка приведена в Документации о продаже.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Дата начала – дата и время окончания срока подачи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Заявок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Дата начала подачи Заявок: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10»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июля 202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г.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Дата и время окончания срока подачи заявок: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» сентября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2024 г. в 17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ч. 00 мин.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(по местному времени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рганизатора)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Порядок подачи Заявок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ind w:left="-44"/>
              <w:jc w:val="both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Заявки под</w:t>
            </w:r>
            <w:bookmarkStart w:id="34" w:name="_GoBack"/>
            <w:r/>
            <w:bookmarkEnd w:id="34"/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аются по адресу ЭТП, указанному в пункте 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instrText xml:space="preserve"> REF _Ref514805016 \r \h  \* MERGEFORMAT </w:instrTex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настоящего Извещения.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«Шаг» аукциона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ind w:left="-44"/>
              <w:jc w:val="both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Шаг аукциона равен 1% от начальной цены продажи, указанной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в пункте 9 настоящего Извещения,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что составляет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198 720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Сто девяносто восемь тысяч семьсот двадцать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) руб. 00 коп.,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с учетом НДС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Дата и время проведения Аукциона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widowControl w:val="off"/>
              <w:tabs>
                <w:tab w:val="left" w:pos="426" w:leader="none"/>
              </w:tabs>
              <w:rPr>
                <w:rFonts w:ascii="Times New Roman" w:hAnsi="Times New Roman" w:eastAsia="Times New Roman" w:cs="Times New Roman"/>
                <w:i/>
                <w:sz w:val="26"/>
                <w:szCs w:val="26"/>
                <w:shd w:val="clear" w:color="auto" w:fill="ffff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» сентября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2024 г. в 16 ч. 00 мин. (по местному времени Организатора)</w:t>
            </w: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shd w:val="clear" w:color="auto" w:fill="ffff99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Дата подведения итогов Аукциона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widowControl w:val="off"/>
              <w:tabs>
                <w:tab w:val="left" w:pos="426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30» 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сентября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2024 г. в 16 ч. 00 мин. (по местному времени Организатора)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/>
            <w:bookmarkStart w:id="35" w:name="_Ref525315137"/>
            <w:r/>
            <w:bookmarkEnd w:id="35"/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Время ожидания ценового предложения Участника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(тридцать) минут от времени начала проведения аукциона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Порядок подведения итогов Аукциона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Победителем Аукциона признается Участник, предложивший наиболее высокую цену Договора.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/>
            <w:bookmarkStart w:id="36" w:name="_Ref446062609"/>
            <w:r/>
            <w:bookmarkEnd w:id="36"/>
            <w:r/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gridSpan w:val="2"/>
            <w:tcW w:w="9070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Описание условий и процедур проводимого Аукциона, условий Договора купли-продажи содержится в Документации о продаже.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0" w:line="240" w:lineRule="auto"/>
              <w:tabs>
                <w:tab w:val="left" w:pos="3923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bookmarkEnd w:id="25"/>
            <w:bookmarkEnd w:id="26"/>
            <w:bookmarkEnd w:id="27"/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Geneva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character" w:styleId="623" w:customStyle="1">
    <w:name w:val="комментарий"/>
    <w:rPr>
      <w:b/>
      <w:i/>
      <w:shd w:val="clear" w:color="auto" w:fill="ffff99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dgk@dgk.ru" TargetMode="External"/><Relationship Id="rId10" Type="http://schemas.openxmlformats.org/officeDocument/2006/relationships/hyperlink" Target="mailto:dgk@dgk.ru" TargetMode="External"/><Relationship Id="rId11" Type="http://schemas.openxmlformats.org/officeDocument/2006/relationships/hyperlink" Target="mailto:konovalova-la@dgk.ru" TargetMode="External"/><Relationship Id="rId12" Type="http://schemas.openxmlformats.org/officeDocument/2006/relationships/hyperlink" Target="mailto:ivaschenko-es@dgk.ru" TargetMode="External"/><Relationship Id="rId13" Type="http://schemas.openxmlformats.org/officeDocument/2006/relationships/hyperlink" Target="https://lot-online.ru/" TargetMode="External"/><Relationship Id="rId14" Type="http://schemas.openxmlformats.org/officeDocument/2006/relationships/hyperlink" Target="https://lot-online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DVGK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Иващенко Елена Сергеевна</dc:creator>
  <cp:keywords/>
  <dc:description/>
  <cp:revision>5</cp:revision>
  <dcterms:created xsi:type="dcterms:W3CDTF">2023-12-14T03:42:00Z</dcterms:created>
  <dcterms:modified xsi:type="dcterms:W3CDTF">2024-07-10T04:59:22Z</dcterms:modified>
</cp:coreProperties>
</file>