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1E9BACAB" w:rsidR="00CB638E" w:rsidRDefault="00026D13" w:rsidP="00CB638E">
      <w:pPr>
        <w:spacing w:after="0" w:line="240" w:lineRule="auto"/>
        <w:ind w:firstLine="567"/>
        <w:jc w:val="both"/>
      </w:pPr>
      <w:r w:rsidRPr="00026D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6D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6D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6D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6D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6D1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026D13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026D1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553BEC38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1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92C95F4" w14:textId="77777777" w:rsidR="00026D13" w:rsidRDefault="00026D13" w:rsidP="00026D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Хорошев Александр Иванович (поручитель ООО «Порт-Проект», ИНН 6321210547, исключен из ЕГРЮЛ), КД 4329 от 19.02.2016, решение Автозаводского районного суда г. Тольятти Самарской области от 17.10.2017 по гражданскому делу 2-7675/2017, определение АС Самарской области от 23.06.2020 по делу А55-5498/2017, отсутствует оригинал судебного акта делу 2-7675/2017 (64 779 135,96 руб.) - 64 779 135,96 руб.;</w:t>
      </w:r>
      <w:proofErr w:type="gramEnd"/>
    </w:p>
    <w:p w14:paraId="1E81A7A8" w14:textId="77777777" w:rsidR="00026D13" w:rsidRDefault="00026D13" w:rsidP="00026D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Лоцманов Алексей Викторович (поручитель ООО «РКС-СЕРВИС», ИНН 6321239747, исключен из ЕГРЮЛ), КД 1393 от 13.05.2013, решение Автозаводского районного суда г. Тольятти от 13.05.2015 по делу 2-36/2015 (2-9220/2014), апелляционное определение судебной коллегии по гражданским делам Самарского областного суда от 29.07.2015 по делу 33-8279/2015, истек срок для предъявления исполнительного листа, отсутствуют документы основания для взыскания задолженности (3</w:t>
      </w:r>
      <w:proofErr w:type="gramEnd"/>
      <w:r>
        <w:t> </w:t>
      </w:r>
      <w:proofErr w:type="gramStart"/>
      <w:r>
        <w:t>115 985,67 руб.) - 3 115 985,68 руб.;</w:t>
      </w:r>
      <w:proofErr w:type="gramEnd"/>
    </w:p>
    <w:p w14:paraId="1854DDBB" w14:textId="77777777" w:rsidR="00026D13" w:rsidRPr="00026D13" w:rsidRDefault="00026D13" w:rsidP="00026D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Куренков Юрий Петрович (поручитель ООО «АДВАНС ВОЛГА», ИНН 6321228819, исключен из ЕГРЮЛ), КД 1530 от 20.06.2013, заочное решение Автозаводского районного суда г. Тольятти Самарской области от 26.11.2014 по делу 2-10626/2014, определение АС Самарской области от 22.07.2020 по делу А55-30396/2019, истек срок предъявления исполнительного листа, отсутствуют документы основания для взыскания задолженности (10 031 02</w:t>
      </w:r>
      <w:r>
        <w:t>7,82 руб.) - 10 031</w:t>
      </w:r>
      <w:proofErr w:type="gramEnd"/>
      <w:r>
        <w:t xml:space="preserve"> 027,82 руб.</w:t>
      </w:r>
    </w:p>
    <w:p w14:paraId="72CEA841" w14:textId="0ACB1897" w:rsidR="009E6456" w:rsidRPr="0037642D" w:rsidRDefault="009E6456" w:rsidP="00026D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ECE0BA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26D13" w:rsidRPr="00026D13">
        <w:rPr>
          <w:rFonts w:ascii="Times New Roman CYR" w:hAnsi="Times New Roman CYR" w:cs="Times New Roman CYR"/>
          <w:b/>
          <w:color w:val="000000"/>
        </w:rPr>
        <w:t>26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0B9019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26D13" w:rsidRPr="00026D13">
        <w:rPr>
          <w:b/>
          <w:color w:val="000000"/>
        </w:rPr>
        <w:t>26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15B91" w:rsidRPr="00715B91">
        <w:rPr>
          <w:b/>
          <w:color w:val="000000"/>
        </w:rPr>
        <w:t>14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DB021F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15B91" w:rsidRPr="00715B91">
        <w:rPr>
          <w:b/>
          <w:color w:val="000000"/>
        </w:rPr>
        <w:t>16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15B91" w:rsidRPr="00715B91">
        <w:rPr>
          <w:b/>
          <w:color w:val="000000"/>
        </w:rPr>
        <w:t xml:space="preserve">02 </w:t>
      </w:r>
      <w:r w:rsidR="00715B91" w:rsidRPr="00715B91">
        <w:rPr>
          <w:b/>
          <w:color w:val="000000"/>
        </w:rPr>
        <w:lastRenderedPageBreak/>
        <w:t>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2349F3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15B91">
        <w:rPr>
          <w:b/>
          <w:bCs/>
          <w:color w:val="000000"/>
        </w:rPr>
        <w:t>18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715B91">
        <w:rPr>
          <w:b/>
          <w:bCs/>
          <w:color w:val="000000"/>
        </w:rPr>
        <w:t>28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AD93B3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15B91" w:rsidRPr="00715B91">
        <w:rPr>
          <w:b/>
          <w:color w:val="000000"/>
        </w:rPr>
        <w:t>18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715B91">
        <w:rPr>
          <w:color w:val="000000"/>
        </w:rPr>
        <w:t xml:space="preserve">за </w:t>
      </w:r>
      <w:r w:rsidR="00F17038" w:rsidRPr="00715B91">
        <w:rPr>
          <w:color w:val="000000"/>
        </w:rPr>
        <w:t>1</w:t>
      </w:r>
      <w:r w:rsidRPr="00715B91">
        <w:rPr>
          <w:color w:val="000000"/>
        </w:rPr>
        <w:t xml:space="preserve"> (</w:t>
      </w:r>
      <w:r w:rsidR="00F17038" w:rsidRPr="00715B91">
        <w:rPr>
          <w:color w:val="000000"/>
        </w:rPr>
        <w:t>Один</w:t>
      </w:r>
      <w:r w:rsidRPr="00715B91">
        <w:rPr>
          <w:color w:val="000000"/>
        </w:rPr>
        <w:t>) календарны</w:t>
      </w:r>
      <w:r w:rsidR="00F17038" w:rsidRPr="00715B91">
        <w:rPr>
          <w:color w:val="000000"/>
        </w:rPr>
        <w:t>й</w:t>
      </w:r>
      <w:r w:rsidRPr="00715B91">
        <w:rPr>
          <w:color w:val="000000"/>
        </w:rPr>
        <w:t xml:space="preserve"> де</w:t>
      </w:r>
      <w:r w:rsidR="00F17038" w:rsidRPr="00715B9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5292A26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18 октября 2024 г. по 21 октября 2024 г. - в размере начальной цены продажи лотов;</w:t>
      </w:r>
    </w:p>
    <w:p w14:paraId="67429FA3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22 октября 2024 г. по 25 октября 2024 г. - в размере 90,06% от начальной цены продажи лотов;</w:t>
      </w:r>
    </w:p>
    <w:p w14:paraId="01F31406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26 октября 2024 г. по 29 октября 2024 г. - в размере 80,12% от начальной цены продажи лотов;</w:t>
      </w:r>
    </w:p>
    <w:p w14:paraId="6553DB8E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30 октября 2024 г. по 02 ноября 2024 г. - в размере 70,18% от начальной цены продажи лотов;</w:t>
      </w:r>
    </w:p>
    <w:p w14:paraId="5D1ACB53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03 ноября 2024 г. по 06 ноября 2024 г. - в размере 60,24% от начальной цены продажи лотов;</w:t>
      </w:r>
    </w:p>
    <w:p w14:paraId="67F71FD8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07 ноября 2024 г. по 10 ноября 2024 г. - в размере 50,30% от начальной цены продажи лотов;</w:t>
      </w:r>
    </w:p>
    <w:p w14:paraId="0E8D8281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11 ноября 2024 г. по 14 ноября 2024 г. - в размере 40,36% от начальной цены продажи лотов;</w:t>
      </w:r>
    </w:p>
    <w:p w14:paraId="65D44AF4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15 ноября 2024 г. по 18 ноября 2024 г. - в размере 30,42% от начальной цены продажи лотов;</w:t>
      </w:r>
    </w:p>
    <w:p w14:paraId="1C4C6668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19 ноября 2024 г. по 22 ноября 2024 г. - в размере 20,48% от начальной цены продажи лотов;</w:t>
      </w:r>
    </w:p>
    <w:p w14:paraId="3A016F9C" w14:textId="77777777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15B91">
        <w:rPr>
          <w:color w:val="000000"/>
        </w:rPr>
        <w:t>с 23 ноября 2024 г. по 25 ноября 2024 г. - в размере 10,54% от начальной цены продажи лотов;</w:t>
      </w:r>
    </w:p>
    <w:p w14:paraId="2DB104CA" w14:textId="28F98482" w:rsidR="00715B91" w:rsidRPr="00715B91" w:rsidRDefault="00715B91" w:rsidP="00715B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B91">
        <w:rPr>
          <w:color w:val="000000"/>
        </w:rPr>
        <w:t xml:space="preserve">с 26 ноября 2024 г. по 28 ноября 2024 г. - в размере 0,60% </w:t>
      </w:r>
      <w:r w:rsidRPr="00715B91">
        <w:rPr>
          <w:color w:val="000000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715B9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5B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15B9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15B9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B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B9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715B9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715B91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0C960809" w14:textId="19233597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B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2E25B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Pr="002E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5B91" w:rsidRPr="002E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16:00 часов по адресу: г. Самара, ул. Урицкого, д. 19, тел. 8-800-505-80-32; </w:t>
      </w:r>
      <w:proofErr w:type="gramStart"/>
      <w:r w:rsidR="00715B91" w:rsidRPr="002E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15B91" w:rsidRPr="002E2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</w:t>
      </w:r>
      <w:r w:rsidRPr="002E25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>Соболькова</w:t>
      </w:r>
      <w:bookmarkStart w:id="0" w:name="_GoBack"/>
      <w:bookmarkEnd w:id="0"/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 xml:space="preserve"> Елена</w:t>
      </w:r>
      <w:r w:rsidR="002E25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>тел. 7967-246-44-29 (</w:t>
      </w:r>
      <w:proofErr w:type="gramStart"/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2E25BE" w:rsidRPr="002E25BE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26D13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E25BE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15B91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2104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2024-07-08T08:07:00Z</dcterms:modified>
</cp:coreProperties>
</file>