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258B43E6" w:rsidR="00AF4511" w:rsidRPr="00874E1D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8B0ADF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8B0ADF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8B0ADF">
        <w:rPr>
          <w:rFonts w:ascii="Times New Roman" w:hAnsi="Times New Roman" w:cs="Times New Roman"/>
          <w:sz w:val="20"/>
          <w:szCs w:val="20"/>
        </w:rPr>
        <w:t>auction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8B0ADF">
        <w:rPr>
          <w:rFonts w:ascii="Times New Roman" w:hAnsi="Times New Roman" w:cs="Times New Roman"/>
          <w:sz w:val="20"/>
          <w:szCs w:val="20"/>
        </w:rPr>
        <w:t>house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8B0A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8B0ADF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8B0ADF" w:rsidRPr="008B0ADF">
        <w:rPr>
          <w:rFonts w:ascii="Times New Roman" w:hAnsi="Times New Roman" w:cs="Times New Roman"/>
          <w:b/>
          <w:sz w:val="20"/>
          <w:szCs w:val="20"/>
          <w:lang w:val="ru-RU"/>
        </w:rPr>
        <w:t>ООО «Сфера-Фарм»</w:t>
      </w:r>
      <w:r w:rsidR="0049569B" w:rsidRPr="008B0AD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</w:t>
      </w:r>
      <w:r w:rsidR="00BC62C1" w:rsidRPr="008B0AD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ИНН </w:t>
      </w:r>
      <w:r w:rsidR="008B0ADF" w:rsidRPr="008B0ADF">
        <w:rPr>
          <w:rFonts w:ascii="Times New Roman" w:hAnsi="Times New Roman" w:cs="Times New Roman"/>
          <w:bCs/>
          <w:iCs/>
          <w:sz w:val="20"/>
          <w:szCs w:val="20"/>
          <w:lang w:val="ru-RU"/>
        </w:rPr>
        <w:t>5030062677</w:t>
      </w:r>
      <w:r w:rsidR="00BC62C1" w:rsidRPr="008B0AD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>далее</w:t>
      </w:r>
      <w:r w:rsidR="00586008"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8B0ADF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B0AD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8B0ADF" w:rsidRPr="008B0AD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Карпенко А.Ю. </w:t>
      </w:r>
      <w:r w:rsidR="00733936" w:rsidRPr="008B0AD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8B0ADF" w:rsidRPr="008B0ADF">
        <w:rPr>
          <w:rFonts w:ascii="Times New Roman" w:hAnsi="Times New Roman" w:cs="Times New Roman"/>
          <w:bCs/>
          <w:sz w:val="20"/>
          <w:szCs w:val="20"/>
          <w:lang w:val="ru-RU"/>
        </w:rPr>
        <w:t>505077824204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8B0ADF" w:rsidRPr="008B0ADF">
        <w:rPr>
          <w:rFonts w:ascii="Times New Roman" w:hAnsi="Times New Roman" w:cs="Times New Roman"/>
          <w:sz w:val="20"/>
          <w:szCs w:val="20"/>
          <w:lang w:val="ru-RU"/>
        </w:rPr>
        <w:t>Союза АУ НЦРБ (ИНН 7813175754</w:t>
      </w:r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8B0ADF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8B0ADF" w:rsidRPr="008B0ADF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Калужской области от 06.03.2023 (рез. часть от 01.03.2023) по делу №А23-4935/18</w:t>
      </w:r>
      <w:r w:rsidR="00957EC1" w:rsidRPr="008B0ADF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8B0ADF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A6882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8B0AD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8025CF">
        <w:fldChar w:fldCharType="begin"/>
      </w:r>
      <w:r w:rsidR="008025CF">
        <w:instrText>HYPERLINK</w:instrText>
      </w:r>
      <w:r w:rsidR="008025CF" w:rsidRPr="008025CF">
        <w:rPr>
          <w:lang w:val="ru-RU"/>
        </w:rPr>
        <w:instrText xml:space="preserve"> "</w:instrText>
      </w:r>
      <w:r w:rsidR="008025CF">
        <w:instrText>http</w:instrText>
      </w:r>
      <w:r w:rsidR="008025CF" w:rsidRPr="008025CF">
        <w:rPr>
          <w:lang w:val="ru-RU"/>
        </w:rPr>
        <w:instrText>://</w:instrText>
      </w:r>
      <w:r w:rsidR="008025CF">
        <w:instrText>lot</w:instrText>
      </w:r>
      <w:r w:rsidR="008025CF" w:rsidRPr="008025CF">
        <w:rPr>
          <w:lang w:val="ru-RU"/>
        </w:rPr>
        <w:instrText>-</w:instrText>
      </w:r>
      <w:r w:rsidR="008025CF">
        <w:instrText>online</w:instrText>
      </w:r>
      <w:r w:rsidR="008025CF" w:rsidRPr="008025CF">
        <w:rPr>
          <w:lang w:val="ru-RU"/>
        </w:rPr>
        <w:instrText>.</w:instrText>
      </w:r>
      <w:r w:rsidR="008025CF">
        <w:instrText>ru</w:instrText>
      </w:r>
      <w:r w:rsidR="008025CF" w:rsidRPr="008025CF">
        <w:rPr>
          <w:lang w:val="ru-RU"/>
        </w:rPr>
        <w:instrText>/"</w:instrText>
      </w:r>
      <w:r w:rsidR="008025CF">
        <w:fldChar w:fldCharType="separate"/>
      </w:r>
      <w:r w:rsidR="005E4B93" w:rsidRPr="008B0ADF">
        <w:rPr>
          <w:rStyle w:val="a3"/>
          <w:rFonts w:ascii="Times New Roman" w:hAnsi="Times New Roman" w:cs="Times New Roman"/>
          <w:sz w:val="20"/>
          <w:szCs w:val="20"/>
        </w:rPr>
        <w:t>http</w:t>
      </w:r>
      <w:r w:rsidR="005E4B93" w:rsidRPr="008B0ADF">
        <w:rPr>
          <w:rStyle w:val="a3"/>
          <w:rFonts w:ascii="Times New Roman" w:hAnsi="Times New Roman" w:cs="Times New Roman"/>
          <w:sz w:val="20"/>
          <w:szCs w:val="20"/>
          <w:lang w:val="ru-RU"/>
        </w:rPr>
        <w:t>://</w:t>
      </w:r>
      <w:r w:rsidR="005E4B93" w:rsidRPr="008B0ADF">
        <w:rPr>
          <w:rStyle w:val="a3"/>
          <w:rFonts w:ascii="Times New Roman" w:hAnsi="Times New Roman" w:cs="Times New Roman"/>
          <w:sz w:val="20"/>
          <w:szCs w:val="20"/>
        </w:rPr>
        <w:t>lot</w:t>
      </w:r>
      <w:r w:rsidR="005E4B93" w:rsidRPr="008B0ADF">
        <w:rPr>
          <w:rStyle w:val="a3"/>
          <w:rFonts w:ascii="Times New Roman" w:hAnsi="Times New Roman" w:cs="Times New Roman"/>
          <w:sz w:val="20"/>
          <w:szCs w:val="20"/>
          <w:lang w:val="ru-RU"/>
        </w:rPr>
        <w:t>-</w:t>
      </w:r>
      <w:r w:rsidR="005E4B93" w:rsidRPr="008B0ADF">
        <w:rPr>
          <w:rStyle w:val="a3"/>
          <w:rFonts w:ascii="Times New Roman" w:hAnsi="Times New Roman" w:cs="Times New Roman"/>
          <w:sz w:val="20"/>
          <w:szCs w:val="20"/>
        </w:rPr>
        <w:t>online</w:t>
      </w:r>
      <w:r w:rsidR="005E4B93" w:rsidRPr="008B0ADF">
        <w:rPr>
          <w:rStyle w:val="a3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5E4B93" w:rsidRPr="008B0ADF">
        <w:rPr>
          <w:rStyle w:val="a3"/>
          <w:rFonts w:ascii="Times New Roman" w:hAnsi="Times New Roman" w:cs="Times New Roman"/>
          <w:sz w:val="20"/>
          <w:szCs w:val="20"/>
        </w:rPr>
        <w:t>ru</w:t>
      </w:r>
      <w:proofErr w:type="spellEnd"/>
      <w:r w:rsidR="005E4B93" w:rsidRPr="008B0ADF">
        <w:rPr>
          <w:rStyle w:val="a3"/>
          <w:rFonts w:ascii="Times New Roman" w:hAnsi="Times New Roman" w:cs="Times New Roman"/>
          <w:sz w:val="20"/>
          <w:szCs w:val="20"/>
          <w:lang w:val="ru-RU"/>
        </w:rPr>
        <w:t>/</w:t>
      </w:r>
      <w:r w:rsidR="008025CF">
        <w:rPr>
          <w:rStyle w:val="a3"/>
          <w:rFonts w:ascii="Times New Roman" w:hAnsi="Times New Roman" w:cs="Times New Roman"/>
          <w:sz w:val="20"/>
          <w:szCs w:val="20"/>
          <w:lang w:val="ru-RU"/>
        </w:rPr>
        <w:fldChar w:fldCharType="end"/>
      </w:r>
      <w:r w:rsidR="005E4B93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8B0AD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</w:t>
      </w:r>
      <w:r w:rsidR="00957EC1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цене. 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A6882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7A6882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7620B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A6882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19</w:t>
      </w:r>
      <w:r w:rsidR="00957EC1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E00838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08</w:t>
      </w:r>
      <w:r w:rsidR="00957EC1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A6882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4,</w:t>
      </w:r>
      <w:r w:rsidR="00957EC1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7620B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8C0FED" w:rsidRP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Нач</w:t>
      </w:r>
      <w:r w:rsidR="00874E1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альная цена (далее – Нач</w:t>
      </w:r>
      <w:r w:rsidR="008C0FED" w:rsidRP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. цена</w:t>
      </w:r>
      <w:r w:rsidR="00874E1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)</w:t>
      </w:r>
      <w:r w:rsid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: Лот 1</w:t>
      </w:r>
      <w:r w:rsidR="008C0FED" w:rsidRP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– 27</w:t>
      </w:r>
      <w:r w:rsidR="005C0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 </w:t>
      </w:r>
      <w:r w:rsidR="008C0FED" w:rsidRP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657</w:t>
      </w:r>
      <w:r w:rsidR="005C0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 </w:t>
      </w:r>
      <w:r w:rsidR="008C0FED" w:rsidRP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300 руб.;</w:t>
      </w:r>
      <w:r w:rsid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Лот 2 </w:t>
      </w:r>
      <w:r w:rsidR="005C0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–</w:t>
      </w:r>
      <w:r w:rsidR="008C0FE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5C05E3" w:rsidRPr="007753F2">
        <w:rPr>
          <w:rFonts w:ascii="Times New Roman" w:hAnsi="Times New Roman" w:cs="Times New Roman"/>
          <w:b/>
          <w:bCs/>
          <w:sz w:val="20"/>
          <w:szCs w:val="20"/>
          <w:lang w:val="ru-RU"/>
        </w:rPr>
        <w:t>1 363 </w:t>
      </w:r>
      <w:r w:rsidR="005C05E3" w:rsidRPr="00874E1D">
        <w:rPr>
          <w:rFonts w:ascii="Times New Roman" w:hAnsi="Times New Roman" w:cs="Times New Roman"/>
          <w:b/>
          <w:bCs/>
          <w:sz w:val="20"/>
          <w:szCs w:val="20"/>
          <w:lang w:val="ru-RU"/>
        </w:rPr>
        <w:t>250 руб.</w:t>
      </w:r>
    </w:p>
    <w:p w14:paraId="3999C5C3" w14:textId="6B21B3DD" w:rsidR="00BF7633" w:rsidRPr="00874E1D" w:rsidRDefault="00874E1D" w:rsidP="00BF7633">
      <w:pPr>
        <w:widowControl w:val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74E1D">
        <w:rPr>
          <w:rFonts w:ascii="Times New Roman" w:hAnsi="Times New Roman" w:cs="Times New Roman"/>
          <w:sz w:val="20"/>
          <w:szCs w:val="20"/>
          <w:lang w:val="ru-RU"/>
        </w:rPr>
        <w:t>Если Торги</w:t>
      </w:r>
      <w:r w:rsidR="00E44AC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признаны несостоявшимися, ОТ сообщает 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проведении </w:t>
      </w:r>
      <w:r w:rsidR="007A6882" w:rsidRPr="00874E1D">
        <w:rPr>
          <w:rFonts w:ascii="Times New Roman" w:hAnsi="Times New Roman" w:cs="Times New Roman"/>
          <w:b/>
          <w:sz w:val="20"/>
          <w:szCs w:val="20"/>
          <w:lang w:val="ru-RU"/>
        </w:rPr>
        <w:t>08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A6882" w:rsidRPr="00874E1D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>.2024 в 10 час. 00 мин. повторных открытых электронных торгов</w:t>
      </w:r>
      <w:r w:rsidR="00BF7633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="00BF7633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) на ЭП </w:t>
      </w:r>
      <w:r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3A29A2" w:rsidRPr="00874E1D">
        <w:rPr>
          <w:rFonts w:ascii="Times New Roman" w:hAnsi="Times New Roman" w:cs="Times New Roman"/>
          <w:b/>
          <w:sz w:val="20"/>
          <w:szCs w:val="20"/>
          <w:lang w:val="ru-RU"/>
        </w:rPr>
        <w:t>01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>.0</w:t>
      </w:r>
      <w:r w:rsidR="003A29A2" w:rsidRPr="00874E1D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>.2024 по 06.</w:t>
      </w:r>
      <w:r w:rsidR="003A29A2" w:rsidRPr="00874E1D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BF7633" w:rsidRPr="00874E1D">
        <w:rPr>
          <w:rFonts w:ascii="Times New Roman" w:hAnsi="Times New Roman" w:cs="Times New Roman"/>
          <w:b/>
          <w:sz w:val="20"/>
          <w:szCs w:val="20"/>
          <w:lang w:val="ru-RU"/>
        </w:rPr>
        <w:t>.2024 до 23 час 00 мин.</w:t>
      </w:r>
      <w:r w:rsidR="00BF7633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 Определение участников повторных Торгов – </w:t>
      </w:r>
      <w:r w:rsidR="003A29A2" w:rsidRPr="00874E1D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="00BF7633" w:rsidRPr="00874E1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A29A2" w:rsidRPr="00874E1D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BF7633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.2024, оформляется протоколом об определении участников торгов. </w:t>
      </w:r>
      <w:r w:rsidRPr="00874E1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Нач. цена на повторных Торгах: Лот 1 – 24 891 570 руб.; Лот 2 – 1 226 925 руб.</w:t>
      </w:r>
    </w:p>
    <w:p w14:paraId="59CA24CB" w14:textId="3DADC09E" w:rsidR="00305A1E" w:rsidRPr="00874E1D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3A29A2"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20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8D21CF"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10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3A29A2"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4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874E1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7620BF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25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7620BF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рабочих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3A29A2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</w:t>
      </w:r>
      <w:r w:rsidR="007620BF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9</w:t>
      </w:r>
      <w:r w:rsidR="003A29A2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-ый </w:t>
      </w:r>
      <w:r w:rsidR="009947C1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947C1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7620BF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59434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="0059434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="0059434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7D485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94078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от нач. цены</w:t>
      </w:r>
      <w:r w:rsidR="007D485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, установленной для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</w:t>
      </w:r>
      <w:r w:rsidR="007D485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="0096021D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Минимальная цена (цена отсечения)</w:t>
      </w:r>
      <w:r w:rsidR="007D4858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>: Лот 1 – 13 828 650 руб.; Лот 2 - 681 625 руб.</w:t>
      </w:r>
      <w:r w:rsidR="00B777F0"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874E1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874E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874E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874E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874E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874E1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3AF272D4" w14:textId="5B5168E1" w:rsidR="00AD0137" w:rsidRPr="00874E1D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Hlk171074198"/>
      <w:r w:rsidRPr="00874E1D">
        <w:rPr>
          <w:rFonts w:ascii="Times New Roman" w:hAnsi="Times New Roman" w:cs="Times New Roman"/>
          <w:sz w:val="20"/>
          <w:szCs w:val="20"/>
          <w:lang w:val="ru-RU"/>
        </w:rPr>
        <w:t>Продаже подлежит имущество</w:t>
      </w:r>
      <w:r w:rsidR="007753F2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, расположенное по адресу: 249022, Калужская обл., Боровский р-н, д. Добрино, 1-й Восточный </w:t>
      </w:r>
      <w:proofErr w:type="spellStart"/>
      <w:r w:rsidR="007753F2" w:rsidRPr="00874E1D">
        <w:rPr>
          <w:rFonts w:ascii="Times New Roman" w:hAnsi="Times New Roman" w:cs="Times New Roman"/>
          <w:sz w:val="20"/>
          <w:szCs w:val="20"/>
          <w:lang w:val="ru-RU"/>
        </w:rPr>
        <w:t>пр</w:t>
      </w:r>
      <w:proofErr w:type="spellEnd"/>
      <w:r w:rsidR="007753F2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-д, </w:t>
      </w:r>
      <w:proofErr w:type="spellStart"/>
      <w:r w:rsidR="007753F2" w:rsidRPr="00874E1D">
        <w:rPr>
          <w:rFonts w:ascii="Times New Roman" w:hAnsi="Times New Roman" w:cs="Times New Roman"/>
          <w:sz w:val="20"/>
          <w:szCs w:val="20"/>
          <w:lang w:val="ru-RU"/>
        </w:rPr>
        <w:t>влд</w:t>
      </w:r>
      <w:proofErr w:type="spellEnd"/>
      <w:r w:rsidR="007753F2"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. 6 </w:t>
      </w:r>
      <w:r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(далее – Имущество, Лот): </w:t>
      </w:r>
    </w:p>
    <w:p w14:paraId="022BF993" w14:textId="2D247AA5" w:rsidR="00305A1E" w:rsidRPr="007753F2" w:rsidRDefault="008E43BD" w:rsidP="007753F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74E1D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874E1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53F2" w:rsidRPr="00874E1D">
        <w:rPr>
          <w:rFonts w:ascii="Times New Roman" w:hAnsi="Times New Roman" w:cs="Times New Roman"/>
          <w:sz w:val="20"/>
          <w:szCs w:val="20"/>
          <w:lang w:val="ru-RU"/>
        </w:rPr>
        <w:t>1-но местная пресс-форма для литья под давлением детали двух видов Клапанов - №0179.005/006; 1-но местная пресс-форма для литья под давлением детали Диск - №0179.003; 1-но местная пресс-форма для литья под давлением детали Колпачок - №0179.007; 1-но местная пресс-форма для литья под давлением</w:t>
      </w:r>
      <w:r w:rsidR="007753F2" w:rsidRPr="007753F2">
        <w:rPr>
          <w:rFonts w:ascii="Times New Roman" w:hAnsi="Times New Roman" w:cs="Times New Roman"/>
          <w:sz w:val="20"/>
          <w:szCs w:val="20"/>
          <w:lang w:val="ru-RU"/>
        </w:rPr>
        <w:t xml:space="preserve"> детали Корпус - №0179.004; 1-но местная пресс-форма для литья под давлением детали Крышка - №0179.002; 1-но местная пресс-форма для литья под давлением детали Ручка - №0179.001</w:t>
      </w:r>
      <w:r w:rsidR="00305A1E" w:rsidRPr="007753F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C3BB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C12259C" w14:textId="61F222B8" w:rsidR="00AD0137" w:rsidRPr="007753F2" w:rsidRDefault="00AD0137" w:rsidP="003C2BD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53F2">
        <w:rPr>
          <w:rFonts w:ascii="Times New Roman" w:hAnsi="Times New Roman" w:cs="Times New Roman"/>
          <w:b/>
          <w:sz w:val="20"/>
          <w:szCs w:val="20"/>
          <w:lang w:val="ru-RU"/>
        </w:rPr>
        <w:t>Лот 2:</w:t>
      </w:r>
      <w:r w:rsidRPr="007753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53F2" w:rsidRPr="007753F2">
        <w:rPr>
          <w:rFonts w:ascii="Times New Roman" w:hAnsi="Times New Roman" w:cs="Times New Roman"/>
          <w:sz w:val="20"/>
          <w:szCs w:val="20"/>
          <w:lang w:val="ru-RU"/>
        </w:rPr>
        <w:t>Трактор-погрузчик ПФС-0,75 БКУ (снегопогрузчик), 2015 года выпуска, заводской (идентификационный) № техники (рамы) 571-808211014, двигатель № 897821, коробка передач № 535864, ведущий мост (мосты) № 850749/105109-04</w:t>
      </w:r>
      <w:r w:rsidRPr="007753F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0"/>
    <w:p w14:paraId="647A6950" w14:textId="69D4AC28" w:rsidR="007753F2" w:rsidRPr="001E5E24" w:rsidRDefault="007753F2" w:rsidP="00BF763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E5E24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нахождения имущества по предварительной договоренности в раб. дни с 11:00 по 16:00, эл. почта: sfera-farm.karpenko@sross.ru, тел. +7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>965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>153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>64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72 (КУ), а также у ОТ: </w:t>
      </w:r>
      <w:r w:rsidR="00823868" w:rsidRPr="00823868">
        <w:rPr>
          <w:rFonts w:ascii="Times New Roman" w:hAnsi="Times New Roman" w:cs="Times New Roman"/>
          <w:sz w:val="20"/>
          <w:szCs w:val="20"/>
          <w:lang w:val="ru-RU"/>
        </w:rPr>
        <w:t>тел. 7</w:t>
      </w:r>
      <w:r w:rsidR="00823868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823868" w:rsidRPr="00823868">
        <w:rPr>
          <w:rFonts w:ascii="Times New Roman" w:hAnsi="Times New Roman" w:cs="Times New Roman"/>
          <w:sz w:val="20"/>
          <w:szCs w:val="20"/>
          <w:lang w:val="ru-RU"/>
        </w:rPr>
        <w:t>985</w:t>
      </w:r>
      <w:r w:rsidR="00823868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823868" w:rsidRPr="00823868">
        <w:rPr>
          <w:rFonts w:ascii="Times New Roman" w:hAnsi="Times New Roman" w:cs="Times New Roman"/>
          <w:sz w:val="20"/>
          <w:szCs w:val="20"/>
          <w:lang w:val="ru-RU"/>
        </w:rPr>
        <w:t>836-13-34, эл. почта: voronezh@auction-house.ru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FA7F08B" w14:textId="30B394A6" w:rsidR="001E5E24" w:rsidRPr="001F5030" w:rsidRDefault="00957EC1" w:rsidP="001F5030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1E5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1E5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1E5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1E5E24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1E5E24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8025CF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8025C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8025CF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8025C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8025CF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8025CF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8025CF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8025C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8025C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2BE8" w:rsidRPr="008025CF">
        <w:rPr>
          <w:rFonts w:ascii="Times New Roman" w:hAnsi="Times New Roman" w:cs="Times New Roman"/>
          <w:sz w:val="20"/>
          <w:szCs w:val="20"/>
          <w:lang w:val="ru-RU"/>
        </w:rPr>
        <w:t xml:space="preserve">Задаток должен поступить на счет ОТ не позднее даты и времени окончания приема заявок для участия в Торгах, повторных Торгах. </w:t>
      </w:r>
      <w:r w:rsidR="00542BE8" w:rsidRPr="008025C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для Торгов ППП – 10% от нач. цены Лота, установленный </w:t>
      </w:r>
      <w:r w:rsidR="00542BE8" w:rsidRPr="00823868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определенного периода Торгов ППП</w:t>
      </w:r>
      <w:r w:rsidR="00542BE8" w:rsidRPr="00823868">
        <w:rPr>
          <w:rFonts w:ascii="Times New Roman" w:hAnsi="Times New Roman" w:cs="Times New Roman"/>
          <w:sz w:val="20"/>
          <w:szCs w:val="20"/>
          <w:lang w:val="ru-RU"/>
        </w:rPr>
        <w:t xml:space="preserve">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88448B" w:rsidRPr="00823868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</w:t>
      </w:r>
      <w:r w:rsidR="0088448B" w:rsidRPr="0088448B">
        <w:rPr>
          <w:rFonts w:ascii="Times New Roman" w:hAnsi="Times New Roman" w:cs="Times New Roman"/>
          <w:sz w:val="20"/>
          <w:szCs w:val="20"/>
          <w:lang w:val="ru-RU"/>
        </w:rPr>
        <w:t xml:space="preserve">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="00E204DE" w:rsidRPr="0088448B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88448B" w:rsidRPr="0088448B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88448B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88448B" w:rsidRPr="0088448B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88448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88448B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88448B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1E5E24" w:rsidRPr="0088448B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8844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1E5E24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1E5E24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1E5E24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lastRenderedPageBreak/>
        <w:t>Победителем Торгов ППП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  <w:r w:rsidR="008844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Проект договора 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купли-продажи</w:t>
      </w:r>
      <w:r w:rsidR="00BF7633"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BF7633"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) размещен на ЭП. 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1E5E24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1E5E24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5E24" w:rsidRPr="001E5E24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1E5E24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1E5E24">
        <w:rPr>
          <w:rFonts w:ascii="Times New Roman" w:hAnsi="Times New Roman" w:cs="Times New Roman"/>
          <w:sz w:val="20"/>
          <w:szCs w:val="20"/>
          <w:lang w:val="ru-RU"/>
        </w:rPr>
        <w:t>У. Оплата – в течение 30 дней со дня по</w:t>
      </w:r>
      <w:r w:rsidRPr="001F5030">
        <w:rPr>
          <w:rFonts w:ascii="Times New Roman" w:hAnsi="Times New Roman" w:cs="Times New Roman"/>
          <w:sz w:val="20"/>
          <w:szCs w:val="20"/>
          <w:lang w:val="ru-RU"/>
        </w:rPr>
        <w:t xml:space="preserve">дписания </w:t>
      </w:r>
      <w:r w:rsidR="00BF7633" w:rsidRPr="001F503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1E5E24" w:rsidRPr="001F5030">
        <w:rPr>
          <w:rFonts w:ascii="Times New Roman" w:hAnsi="Times New Roman" w:cs="Times New Roman"/>
          <w:sz w:val="20"/>
          <w:szCs w:val="20"/>
          <w:lang w:val="ru-RU"/>
        </w:rPr>
        <w:t>КП</w:t>
      </w:r>
      <w:r w:rsidRPr="001F5030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F5030" w:rsidRPr="001F5030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A163C7" w:rsidRPr="001F503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1F5030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1E5E24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40702810123639411606 </w:t>
      </w:r>
      <w:r w:rsidR="00A163C7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1E5E24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>ГКР «ВЭБ.РФ»</w:t>
      </w:r>
      <w:r w:rsidR="00F50EC2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1E5E24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30101810500000000060</w:t>
      </w:r>
      <w:r w:rsidR="00F50EC2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1E5E24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044525060</w:t>
      </w:r>
      <w:r w:rsidR="0049335B" w:rsidRPr="001F5030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1E5E24" w:rsidRPr="001F5030" w:rsidSect="003C2BD8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36639">
    <w:abstractNumId w:val="1"/>
  </w:num>
  <w:num w:numId="2" w16cid:durableId="21111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95D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1E5E24"/>
    <w:rsid w:val="001F5030"/>
    <w:rsid w:val="00201387"/>
    <w:rsid w:val="00203371"/>
    <w:rsid w:val="002109D8"/>
    <w:rsid w:val="0022028A"/>
    <w:rsid w:val="00220D13"/>
    <w:rsid w:val="00231CB8"/>
    <w:rsid w:val="00273968"/>
    <w:rsid w:val="00275D24"/>
    <w:rsid w:val="00280501"/>
    <w:rsid w:val="002A1222"/>
    <w:rsid w:val="002C3BB0"/>
    <w:rsid w:val="00305A1E"/>
    <w:rsid w:val="00321DFA"/>
    <w:rsid w:val="00336DC2"/>
    <w:rsid w:val="003655EE"/>
    <w:rsid w:val="00375D59"/>
    <w:rsid w:val="00384C43"/>
    <w:rsid w:val="00390A28"/>
    <w:rsid w:val="003A29A2"/>
    <w:rsid w:val="003C2BD8"/>
    <w:rsid w:val="003D0088"/>
    <w:rsid w:val="003D071E"/>
    <w:rsid w:val="003D46FA"/>
    <w:rsid w:val="003D774E"/>
    <w:rsid w:val="00413D03"/>
    <w:rsid w:val="004227A7"/>
    <w:rsid w:val="00431433"/>
    <w:rsid w:val="00444F87"/>
    <w:rsid w:val="00460523"/>
    <w:rsid w:val="00487F3A"/>
    <w:rsid w:val="0049335B"/>
    <w:rsid w:val="00493478"/>
    <w:rsid w:val="0049569B"/>
    <w:rsid w:val="004A18D7"/>
    <w:rsid w:val="004A6EE9"/>
    <w:rsid w:val="004C427D"/>
    <w:rsid w:val="004C645B"/>
    <w:rsid w:val="004D3058"/>
    <w:rsid w:val="004D4886"/>
    <w:rsid w:val="004F0F59"/>
    <w:rsid w:val="005041D2"/>
    <w:rsid w:val="00515D05"/>
    <w:rsid w:val="005160D8"/>
    <w:rsid w:val="00542BE8"/>
    <w:rsid w:val="00556B26"/>
    <w:rsid w:val="0056183E"/>
    <w:rsid w:val="00565CA3"/>
    <w:rsid w:val="00573F80"/>
    <w:rsid w:val="00586008"/>
    <w:rsid w:val="00594348"/>
    <w:rsid w:val="005B1853"/>
    <w:rsid w:val="005B5376"/>
    <w:rsid w:val="005C05E3"/>
    <w:rsid w:val="005E4B93"/>
    <w:rsid w:val="005E55D5"/>
    <w:rsid w:val="005F3E56"/>
    <w:rsid w:val="006030E6"/>
    <w:rsid w:val="00622CD7"/>
    <w:rsid w:val="00642A4F"/>
    <w:rsid w:val="00654E9C"/>
    <w:rsid w:val="00677E82"/>
    <w:rsid w:val="006817B1"/>
    <w:rsid w:val="006C50C1"/>
    <w:rsid w:val="006D39B9"/>
    <w:rsid w:val="006E2DF9"/>
    <w:rsid w:val="0071333C"/>
    <w:rsid w:val="00733936"/>
    <w:rsid w:val="00741C0B"/>
    <w:rsid w:val="00747530"/>
    <w:rsid w:val="00752C20"/>
    <w:rsid w:val="007620BF"/>
    <w:rsid w:val="007753F2"/>
    <w:rsid w:val="007A1C16"/>
    <w:rsid w:val="007A1E86"/>
    <w:rsid w:val="007A6882"/>
    <w:rsid w:val="007C3AA0"/>
    <w:rsid w:val="007D0894"/>
    <w:rsid w:val="007D4858"/>
    <w:rsid w:val="007E2039"/>
    <w:rsid w:val="007E4CFD"/>
    <w:rsid w:val="007F2648"/>
    <w:rsid w:val="008025CF"/>
    <w:rsid w:val="00817BF1"/>
    <w:rsid w:val="00823868"/>
    <w:rsid w:val="00874E1D"/>
    <w:rsid w:val="0088448B"/>
    <w:rsid w:val="008903A7"/>
    <w:rsid w:val="008961A4"/>
    <w:rsid w:val="0089701D"/>
    <w:rsid w:val="008A205E"/>
    <w:rsid w:val="008B0ADF"/>
    <w:rsid w:val="008C0FED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115"/>
    <w:rsid w:val="00B55CA3"/>
    <w:rsid w:val="00B777F0"/>
    <w:rsid w:val="00B82522"/>
    <w:rsid w:val="00B92854"/>
    <w:rsid w:val="00BA505D"/>
    <w:rsid w:val="00BC2484"/>
    <w:rsid w:val="00BC62C1"/>
    <w:rsid w:val="00BE53E7"/>
    <w:rsid w:val="00BF24D4"/>
    <w:rsid w:val="00BF7633"/>
    <w:rsid w:val="00C070E8"/>
    <w:rsid w:val="00CA7811"/>
    <w:rsid w:val="00CB6895"/>
    <w:rsid w:val="00CC4AFE"/>
    <w:rsid w:val="00CD1565"/>
    <w:rsid w:val="00CD732D"/>
    <w:rsid w:val="00D03490"/>
    <w:rsid w:val="00D243AB"/>
    <w:rsid w:val="00D406A9"/>
    <w:rsid w:val="00D46F9E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44AC2"/>
    <w:rsid w:val="00E60808"/>
    <w:rsid w:val="00ED69E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7</cp:revision>
  <cp:lastPrinted>2024-07-03T08:07:00Z</cp:lastPrinted>
  <dcterms:created xsi:type="dcterms:W3CDTF">2024-07-08T09:56:00Z</dcterms:created>
  <dcterms:modified xsi:type="dcterms:W3CDTF">2024-07-10T09:33:00Z</dcterms:modified>
</cp:coreProperties>
</file>