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9791" w:type="dxa"/>
        <w:jc w:val="left"/>
        <w:tblInd w:w="0" w:type="dxa"/>
        <w:tblLayout w:type="fixed"/>
        <w:tblCellMar>
          <w:top w:w="0" w:type="dxa"/>
          <w:left w:w="0" w:type="dxa"/>
          <w:bottom w:w="0" w:type="dxa"/>
          <w:right w:w="0" w:type="dxa"/>
        </w:tblCellMar>
        <w:tblLook w:val="04a0"/>
      </w:tblPr>
      <w:tblGrid>
        <w:gridCol w:w="943"/>
        <w:gridCol w:w="946"/>
        <w:gridCol w:w="946"/>
        <w:gridCol w:w="945"/>
        <w:gridCol w:w="946"/>
        <w:gridCol w:w="339"/>
        <w:gridCol w:w="946"/>
        <w:gridCol w:w="945"/>
        <w:gridCol w:w="946"/>
        <w:gridCol w:w="946"/>
        <w:gridCol w:w="941"/>
      </w:tblGrid>
      <w:tr>
        <w:trPr>
          <w:trHeight w:val="31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789" w:type="dxa"/>
            <w:gridSpan w:val="11"/>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93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Джакеева Елена Кабасовна (Дженбекова Елена Кабасовна) (11.11.1968г.р., место рожд: п. Хоперский Новониколаевского р-на Волгоградской обл., адрес рег: 404543, Волгоградская обл, Новониколаевский р-н, Степной х, Центральная ул, д. 8, СНИЛС05121479826, ИНН 342000353035, паспорт РФ серия 1813, номер 883342, выдан 05.12.2013, кем выдан ОТДЕЛЕНИЕМ УФМС РОССИИ ПО ВОЛГОГРАДСКОЙ ОБЛАСТИ В НОВОНИКОЛАЕВСКОМ РАЙОНЕ, код подразделения 340-031),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Волгоградской области от 16.11.2021г. по делу №А12-29960/2021, именуемый в дальнейшем «Продавец», с одной стороны, и</w:t>
            </w:r>
          </w:p>
        </w:tc>
      </w:tr>
      <w:tr>
        <w:trPr>
          <w:trHeight w:val="49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10.07.2024г. по продаже имущества Джакеевой Елены Кабасовны,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30" w:hRule="exact"/>
        </w:trPr>
        <w:tc>
          <w:tcPr>
            <w:tcW w:w="9789"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Нежилое здание, площадь: 303,5кв.м., кадастровый номер: 34:20:000000:1409 и Земельный участок, площадь: 427м², кадастровый номер: 34:20:090107:419, Категория земель: Земли населенных пунктов, Вид разрешенного использования: для эксплуатации здания зернохранилища, адрес (местонахождение): Волгоградская обл., Новониколаевский р-н, х. Степной</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имеются.</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10.07.2024г. на сайте https://lot-online.ru/, и указана в Протоколе  от 10.07.2024г. является окончательной и изменению не подлежит.</w:t>
            </w:r>
          </w:p>
        </w:tc>
      </w:tr>
      <w:tr>
        <w:trPr>
          <w:trHeight w:val="52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Джакеевой Елены Кабасовны 40817810450172662750</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89"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5"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5"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655" w:hRule="exact"/>
        </w:trPr>
        <w:tc>
          <w:tcPr>
            <w:tcW w:w="4726"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Джакеева Елена Кабасовна (Дженбекова Елена Кабасовна) (11.11.1968г.р., место рожд: п. Хоперский Новониколаевского р-на Волгоградской обл., адрес рег: 404543, Волгоградская обл, Новониколаевский р-н, Степной х, Центральная ул, д. 8, СНИЛС05121479826, ИНН 342000353035, паспорт РФ серия 1813, номер 883342, выдан 05.12.2013, кем выдан ОТДЕЛЕНИЕМ УФМС РОССИИ ПО ВОЛГОГРАДСКОЙ ОБЛАСТИ В НОВОНИКОЛАЕВСКОМ РАЙОНЕ, код подразделения 340-031)</w:t>
            </w:r>
          </w:p>
        </w:tc>
        <w:tc>
          <w:tcPr>
            <w:tcW w:w="3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4724" w:type="dxa"/>
            <w:gridSpan w:val="5"/>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4724" w:type="dxa"/>
            <w:gridSpan w:val="5"/>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6"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Джакеевой Елены Кабасовны 40817810450172662750</w:t>
            </w:r>
          </w:p>
        </w:tc>
        <w:tc>
          <w:tcPr>
            <w:tcW w:w="3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4724" w:type="dxa"/>
            <w:gridSpan w:val="5"/>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4724" w:type="dxa"/>
            <w:gridSpan w:val="5"/>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4724" w:type="dxa"/>
            <w:gridSpan w:val="5"/>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6"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5"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Джакеевой Елены Кабасовны</w:t>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3"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5"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Леонидовна__________________</w:t>
            </w:r>
          </w:p>
        </w:tc>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1111</Words>
  <Characters>8107</Characters>
  <CharactersWithSpaces>9171</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2024-05-31T12:58:26Z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