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8D17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A2F91C8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4DF88B1C" w14:textId="77777777" w:rsidR="007737C8" w:rsidRDefault="007737C8" w:rsidP="007737C8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52FD88C3" w14:textId="5FB403FE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«__» ____________2024 года</w:t>
      </w:r>
    </w:p>
    <w:p w14:paraId="637487A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08848083" w14:textId="77777777" w:rsidR="007737C8" w:rsidRDefault="007737C8" w:rsidP="007737C8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Индивидуальный предприниматель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Глава КФХ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Падалка Алексей Константинович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(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19.09.1970 года рождения, место рождения: г. Кстово Горьковской области, место жительства: 354392, Россия, Краснодарский край, г. Сочи, пгт. Красная поляна, ул. Ачишховская, д. 66, СНИЛС: 118-830-711 59, ИНН: 463001756250,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ОГРНИП</w:t>
      </w:r>
      <w:r>
        <w:rPr>
          <w:rFonts w:ascii="Times New Roman" w:hAnsi="Times New Roman" w:cs="Times New Roman"/>
          <w:bCs/>
          <w:sz w:val="22"/>
          <w:szCs w:val="22"/>
        </w:rPr>
        <w:t> 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316366800075452), признанный несостоятельным (банкротом), в отношении которого введено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конкурсное производство,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именуемый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конкурного управляющего </w:t>
      </w:r>
      <w:proofErr w:type="spellStart"/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Глустенкова</w:t>
      </w:r>
      <w:proofErr w:type="spellEnd"/>
      <w:r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 xml:space="preserve"> Игоря Валентиновича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(ИНН 6321109 86709, СНИЛС 042-659-218 58,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val="ru-RU"/>
        </w:rPr>
        <w:t>рег.номер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№ 1108, адрес для корреспонденции: 445057, Самарская обл., г. Тольятти, а/я 3927, e-mail: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2"/>
            <w:szCs w:val="22"/>
            <w:lang w:val="ru-RU"/>
          </w:rPr>
          <w:t>luka-63@bk.ru</w:t>
        </w:r>
      </w:hyperlink>
      <w:r>
        <w:rPr>
          <w:rFonts w:ascii="Times New Roman" w:eastAsia="Calibri" w:hAnsi="Times New Roman" w:cs="Times New Roman"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действующего на основании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решения Арбитражного суда Краснодарского края от 31.10.2022 г.,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по делу № А32-8216/2020,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5E42E493" w14:textId="77777777" w:rsidR="007737C8" w:rsidRDefault="007737C8" w:rsidP="007737C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4747C414" w14:textId="77777777" w:rsidR="007737C8" w:rsidRDefault="007737C8" w:rsidP="007737C8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273A0397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7A886E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174C3DF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1.2. Под Объектами  в настоящем Договоре Стороны понимают:</w:t>
      </w:r>
    </w:p>
    <w:p w14:paraId="62F1CB8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7119C69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04E58DAB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788CB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</w:t>
      </w:r>
    </w:p>
    <w:p w14:paraId="2CBC5AF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0FBB9C9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641322F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Объекты Покупатель приобретает по итогам открытых торгов в рамках процедуры конкурсного производства, осуществляемого в отношении Должника, согласно Протокола о результатах проведения открытых торгов от _______20_____ года.  </w:t>
      </w:r>
    </w:p>
    <w:p w14:paraId="4D325558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1F01007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Объекты у Должника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 </w:t>
      </w:r>
    </w:p>
    <w:p w14:paraId="047B9380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Право залога, зарегистрированное за залогодержателем КБ «Альта-Банк» (ЗАО) на продаваемое Имущество, прекращается настоящей реализацией данного Имущества на открытых торгах в рамках процедуры конкурсного производства, осуществляемой в отношении Должника.</w:t>
      </w:r>
    </w:p>
    <w:p w14:paraId="13D646CE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и условиях проведения торгов по реализации недвижимого имущества Падалка Алексея Константиновича, являющегося предметом залога, дело № А32-8216/2020, утвержденного конкурсным кредитором КБ «Альта-Банк» (ЗАО) в лице конкурсного управляющего ГК «АСВ» от 16.05.2023 г.</w:t>
      </w:r>
    </w:p>
    <w:p w14:paraId="1E67143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3806C55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0C8E29B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2.1. Общая стоимость имущества составляет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55AA132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Договору.</w:t>
      </w:r>
    </w:p>
    <w:p w14:paraId="78AE6808" w14:textId="77777777" w:rsidR="007737C8" w:rsidRDefault="007737C8" w:rsidP="007737C8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55D9EE12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248F096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1E6948C2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818E9C2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7ECC828D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6B95B9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0FFAF61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9BF821C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32EF370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E1ECCA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1E9D0219" w14:textId="77777777" w:rsidR="007737C8" w:rsidRDefault="007737C8" w:rsidP="007737C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3.6.</w:t>
      </w:r>
      <w:r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0866491C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0F6A59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056FB47F" w14:textId="77777777" w:rsidR="007737C8" w:rsidRDefault="007737C8" w:rsidP="007737C8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296C2FA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366CC008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50FCCC0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4A2E8D0F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E651D6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DE735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CFB4FA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502AC5E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3F716D9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093433D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2B56AA4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74C8DD82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8E6AC73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472AB18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E1A8019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39B12AC1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5CC208A0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D1CC2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7D91A877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7F8D531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00178B4D" w14:textId="77777777" w:rsidR="007737C8" w:rsidRDefault="007737C8" w:rsidP="007737C8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2247BBED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5013A5B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0B289293" w14:textId="77777777" w:rsidR="007737C8" w:rsidRDefault="007737C8" w:rsidP="007737C8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7737C8" w14:paraId="6EC91006" w14:textId="77777777" w:rsidTr="007737C8">
        <w:tc>
          <w:tcPr>
            <w:tcW w:w="0" w:type="auto"/>
            <w:hideMark/>
          </w:tcPr>
          <w:p w14:paraId="2E8BB8E4" w14:textId="77777777" w:rsidR="007737C8" w:rsidRDefault="0077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0" w:type="auto"/>
            <w:hideMark/>
          </w:tcPr>
          <w:p w14:paraId="4140D21A" w14:textId="77777777" w:rsidR="007737C8" w:rsidRDefault="007737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7737C8" w14:paraId="4B5AA446" w14:textId="77777777" w:rsidTr="007737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BB8E" w14:textId="77777777" w:rsidR="007737C8" w:rsidRDefault="007737C8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F659" w14:textId="77777777" w:rsidR="007737C8" w:rsidRDefault="007737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737C8" w14:paraId="1938CE47" w14:textId="77777777" w:rsidTr="007737C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981" w14:textId="77777777" w:rsidR="007737C8" w:rsidRDefault="007737C8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AF2A" w14:textId="77777777" w:rsidR="007737C8" w:rsidRDefault="007737C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7737C8" w14:paraId="0E4C1C75" w14:textId="77777777" w:rsidTr="007737C8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4279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5C58FD23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81B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1B4DAF55" w14:textId="77777777" w:rsidR="007737C8" w:rsidRDefault="007737C8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18EC8069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406EFB2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926584E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167D9B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CDD71E9" w14:textId="77777777" w:rsidR="007737C8" w:rsidRDefault="007737C8" w:rsidP="007737C8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667BFE1" w14:textId="77777777" w:rsidR="007737C8" w:rsidRDefault="007737C8" w:rsidP="007737C8">
      <w:pPr>
        <w:rPr>
          <w:rFonts w:ascii="Calibri" w:hAnsi="Calibri" w:cs="Calibri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7538D21B" w14:textId="77777777" w:rsidR="007737C8" w:rsidRDefault="007737C8" w:rsidP="007737C8">
      <w:pPr>
        <w:tabs>
          <w:tab w:val="left" w:pos="402"/>
          <w:tab w:val="left" w:pos="567"/>
        </w:tabs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14:paraId="15C80642" w14:textId="77777777" w:rsidR="007737C8" w:rsidRDefault="007737C8"/>
    <w:sectPr w:rsidR="0077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C8"/>
    <w:rsid w:val="002D25FB"/>
    <w:rsid w:val="007737C8"/>
    <w:rsid w:val="007A03EF"/>
    <w:rsid w:val="007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1024"/>
  <w15:chartTrackingRefBased/>
  <w15:docId w15:val="{35D7024A-F329-4CDE-9721-CD01EB7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7C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7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737C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737C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7737C8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737C8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customStyle="1" w:styleId="paragraph">
    <w:name w:val="paragraph"/>
    <w:basedOn w:val="a0"/>
    <w:rsid w:val="00773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ka-6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2024-05-24T09:05:00Z</dcterms:created>
  <dcterms:modified xsi:type="dcterms:W3CDTF">2024-07-10T06:38:00Z</dcterms:modified>
</cp:coreProperties>
</file>