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4821"/>
      </w:tblGrid>
      <w:tr w:rsidR="00773297" w:rsidRPr="00462099" w:rsidTr="00B50185">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4821" w:type="dxa"/>
            <w:shd w:val="clear" w:color="auto" w:fill="auto"/>
          </w:tcPr>
          <w:p w:rsidR="00773297" w:rsidRPr="00462099" w:rsidRDefault="004C6095" w:rsidP="00B50185">
            <w:pPr>
              <w:snapToGrid w:val="0"/>
              <w:jc w:val="right"/>
              <w:rPr>
                <w:rFonts w:ascii="Cambria" w:hAnsi="Cambria"/>
                <w:sz w:val="20"/>
                <w:szCs w:val="20"/>
              </w:rPr>
            </w:pPr>
            <w:r>
              <w:rPr>
                <w:rFonts w:ascii="Cambria" w:hAnsi="Cambria"/>
                <w:sz w:val="20"/>
                <w:szCs w:val="20"/>
              </w:rPr>
              <w:t>«   » _____________ 202</w:t>
            </w:r>
            <w:r w:rsidR="00B50185">
              <w:rPr>
                <w:rFonts w:ascii="Cambria" w:hAnsi="Cambria"/>
                <w:sz w:val="20"/>
                <w:szCs w:val="20"/>
              </w:rPr>
              <w:t>4</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F622DC">
        <w:rPr>
          <w:rFonts w:ascii="Cambria" w:hAnsi="Cambria"/>
          <w:sz w:val="20"/>
          <w:szCs w:val="20"/>
        </w:rPr>
        <w:t>БМК</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F622DC">
        <w:rPr>
          <w:rFonts w:ascii="Cambria" w:hAnsi="Cambria"/>
          <w:sz w:val="20"/>
          <w:szCs w:val="20"/>
        </w:rPr>
        <w:t>Краснодарского края</w:t>
      </w:r>
      <w:r w:rsidR="00505154" w:rsidRPr="00462099">
        <w:rPr>
          <w:rFonts w:ascii="Cambria" w:hAnsi="Cambria"/>
          <w:sz w:val="20"/>
          <w:szCs w:val="20"/>
        </w:rPr>
        <w:t xml:space="preserve"> по делу </w:t>
      </w:r>
      <w:r w:rsidR="00F622DC">
        <w:rPr>
          <w:rFonts w:ascii="Cambria" w:hAnsi="Cambria"/>
          <w:sz w:val="20"/>
          <w:szCs w:val="20"/>
        </w:rPr>
        <w:t>А32-8860/2017</w:t>
      </w:r>
      <w:r w:rsidR="00462099" w:rsidRPr="00462099">
        <w:rPr>
          <w:rFonts w:ascii="Cambria" w:hAnsi="Cambria"/>
          <w:sz w:val="20"/>
          <w:szCs w:val="20"/>
        </w:rPr>
        <w:t xml:space="preserve"> от </w:t>
      </w:r>
      <w:r w:rsidR="00F622DC">
        <w:rPr>
          <w:rFonts w:ascii="Cambria" w:hAnsi="Cambria"/>
          <w:sz w:val="20"/>
          <w:szCs w:val="20"/>
        </w:rPr>
        <w:t>25.12.2017</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F622DC">
        <w:rPr>
          <w:rFonts w:ascii="Cambria" w:hAnsi="Cambria"/>
          <w:sz w:val="20"/>
          <w:szCs w:val="20"/>
        </w:rPr>
        <w:t>БМК</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E215E3" w:rsidRPr="00462099" w:rsidRDefault="00F622DC" w:rsidP="008E0C00">
      <w:pPr>
        <w:pStyle w:val="a9"/>
        <w:ind w:firstLine="567"/>
        <w:jc w:val="both"/>
        <w:rPr>
          <w:rFonts w:ascii="Cambria" w:hAnsi="Cambria"/>
          <w:sz w:val="20"/>
          <w:szCs w:val="20"/>
        </w:rPr>
      </w:pPr>
      <w:r>
        <w:rPr>
          <w:rFonts w:ascii="Cambria" w:hAnsi="Cambria"/>
        </w:rPr>
        <w:t xml:space="preserve">лот №1 </w:t>
      </w:r>
      <w:r w:rsidRPr="00AB6E91">
        <w:rPr>
          <w:rFonts w:ascii="Cambria" w:hAnsi="Cambria"/>
        </w:rPr>
        <w:t xml:space="preserve">дебиторская </w:t>
      </w:r>
      <w:r w:rsidRPr="008B31E2">
        <w:rPr>
          <w:rFonts w:ascii="Cambria" w:hAnsi="Cambria"/>
        </w:rPr>
        <w:t>задолженность</w:t>
      </w:r>
      <w:r>
        <w:rPr>
          <w:rFonts w:ascii="Cambria" w:hAnsi="Cambria"/>
        </w:rPr>
        <w:t xml:space="preserve"> </w:t>
      </w:r>
      <w:r w:rsidRPr="008B31E2">
        <w:rPr>
          <w:rFonts w:ascii="Cambria" w:hAnsi="Cambria"/>
        </w:rPr>
        <w:t xml:space="preserve">- </w:t>
      </w:r>
      <w:r w:rsidRPr="008B31E2">
        <w:rPr>
          <w:rFonts w:ascii="Cambria" w:hAnsi="Cambria" w:cs="Times New Roman"/>
        </w:rPr>
        <w:t>Солодуха Андрей Георгиевич (ИНН 771570149086) в размере 9 062 955,70 руб.</w:t>
      </w:r>
      <w:r w:rsidRPr="008B31E2">
        <w:rPr>
          <w:rFonts w:ascii="Cambria" w:hAnsi="Cambria"/>
        </w:rPr>
        <w:t xml:space="preserve"> – начальная цена </w:t>
      </w:r>
      <w:r w:rsidR="00855684">
        <w:rPr>
          <w:rFonts w:ascii="Cambria" w:hAnsi="Cambria" w:cs="Times New Roman"/>
        </w:rPr>
        <w:t>8 156 660,13</w:t>
      </w:r>
      <w:r w:rsidRPr="008B31E2">
        <w:rPr>
          <w:rFonts w:ascii="Cambria" w:hAnsi="Cambria"/>
        </w:rPr>
        <w:t>руб</w:t>
      </w:r>
      <w:r w:rsidRPr="00C5618D">
        <w:rPr>
          <w:rFonts w:ascii="Cambria" w:hAnsi="Cambria"/>
        </w:rPr>
        <w:t>.</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расчетный счет</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F622DC">
        <w:rPr>
          <w:rFonts w:ascii="Cambria" w:hAnsi="Cambria"/>
          <w:sz w:val="20"/>
          <w:szCs w:val="20"/>
        </w:rPr>
        <w:t>БМК</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F622DC" w:rsidRDefault="00773297" w:rsidP="0080319A">
      <w:pPr>
        <w:ind w:firstLine="567"/>
        <w:jc w:val="both"/>
        <w:rPr>
          <w:rFonts w:ascii="Cambria" w:hAnsi="Cambria"/>
          <w:sz w:val="20"/>
          <w:szCs w:val="20"/>
        </w:rPr>
      </w:pPr>
      <w:r w:rsidRPr="00F622DC">
        <w:rPr>
          <w:rFonts w:ascii="Cambria" w:hAnsi="Cambria"/>
          <w:sz w:val="20"/>
          <w:szCs w:val="20"/>
        </w:rPr>
        <w:t xml:space="preserve">2.1. </w:t>
      </w:r>
      <w:r w:rsidR="006966C2" w:rsidRPr="00F622DC">
        <w:rPr>
          <w:rFonts w:ascii="Cambria" w:hAnsi="Cambria"/>
          <w:sz w:val="20"/>
          <w:szCs w:val="20"/>
        </w:rPr>
        <w:t>Заявитель вносит на расчетный счет</w:t>
      </w:r>
      <w:r w:rsidR="00591159" w:rsidRPr="00F622DC">
        <w:rPr>
          <w:rFonts w:ascii="Cambria" w:hAnsi="Cambria"/>
          <w:sz w:val="20"/>
          <w:szCs w:val="20"/>
        </w:rPr>
        <w:t>:</w:t>
      </w:r>
      <w:r w:rsidR="006966C2" w:rsidRPr="00F622DC">
        <w:rPr>
          <w:rFonts w:ascii="Cambria" w:hAnsi="Cambria"/>
          <w:sz w:val="20"/>
          <w:szCs w:val="20"/>
        </w:rPr>
        <w:t xml:space="preserve"> </w:t>
      </w:r>
    </w:p>
    <w:p w:rsidR="006966C2" w:rsidRPr="00F622DC" w:rsidRDefault="00F622DC" w:rsidP="00FD70AA">
      <w:pPr>
        <w:jc w:val="both"/>
        <w:rPr>
          <w:rFonts w:ascii="Cambria" w:hAnsi="Cambria"/>
          <w:sz w:val="20"/>
          <w:szCs w:val="20"/>
        </w:rPr>
      </w:pPr>
      <w:r w:rsidRPr="00F622DC">
        <w:rPr>
          <w:rFonts w:ascii="Cambria" w:hAnsi="Cambria"/>
          <w:sz w:val="20"/>
          <w:szCs w:val="20"/>
        </w:rPr>
        <w:t>получатель ООО «БМК», ИНН 2317051390, КПП 231701001, Банк в КРАСНОДАРСКОМ ОТДЕЛЕНИИ N8619 ПАО СБЕРБАНК г. КРАСНОДАР, БИК 040349602, р/</w:t>
      </w:r>
      <w:proofErr w:type="spellStart"/>
      <w:r w:rsidRPr="00F622DC">
        <w:rPr>
          <w:rFonts w:ascii="Cambria" w:hAnsi="Cambria"/>
          <w:sz w:val="20"/>
          <w:szCs w:val="20"/>
        </w:rPr>
        <w:t>сч</w:t>
      </w:r>
      <w:proofErr w:type="spellEnd"/>
      <w:r w:rsidRPr="00F622DC">
        <w:rPr>
          <w:rFonts w:ascii="Cambria" w:hAnsi="Cambria"/>
          <w:sz w:val="20"/>
          <w:szCs w:val="20"/>
        </w:rPr>
        <w:t xml:space="preserve"> 40702810430000013230, </w:t>
      </w:r>
      <w:proofErr w:type="spellStart"/>
      <w:r w:rsidRPr="00F622DC">
        <w:rPr>
          <w:rFonts w:ascii="Cambria" w:hAnsi="Cambria"/>
          <w:sz w:val="20"/>
          <w:szCs w:val="20"/>
        </w:rPr>
        <w:t>кор</w:t>
      </w:r>
      <w:proofErr w:type="spellEnd"/>
      <w:r w:rsidRPr="00F622DC">
        <w:rPr>
          <w:rFonts w:ascii="Cambria" w:hAnsi="Cambria"/>
          <w:sz w:val="20"/>
          <w:szCs w:val="20"/>
        </w:rPr>
        <w:t>/</w:t>
      </w:r>
      <w:proofErr w:type="spellStart"/>
      <w:r w:rsidRPr="00F622DC">
        <w:rPr>
          <w:rFonts w:ascii="Cambria" w:hAnsi="Cambria"/>
          <w:sz w:val="20"/>
          <w:szCs w:val="20"/>
        </w:rPr>
        <w:t>сч</w:t>
      </w:r>
      <w:proofErr w:type="spellEnd"/>
      <w:r w:rsidRPr="00F622DC">
        <w:rPr>
          <w:rFonts w:ascii="Cambria" w:hAnsi="Cambria"/>
          <w:sz w:val="20"/>
          <w:szCs w:val="20"/>
        </w:rPr>
        <w:t xml:space="preserve"> 30101810100000000602</w:t>
      </w:r>
      <w:r w:rsidR="006966C2" w:rsidRPr="00F622DC">
        <w:rPr>
          <w:rFonts w:ascii="Cambria" w:hAnsi="Cambria"/>
          <w:sz w:val="20"/>
          <w:szCs w:val="20"/>
        </w:rPr>
        <w:t xml:space="preserve"> задаток в размере 10 % от начальной цены лота № </w:t>
      </w:r>
      <w:r w:rsidR="00462099" w:rsidRPr="00F622DC">
        <w:rPr>
          <w:rFonts w:ascii="Cambria" w:hAnsi="Cambria"/>
          <w:sz w:val="20"/>
          <w:szCs w:val="20"/>
        </w:rPr>
        <w:t>1</w:t>
      </w:r>
      <w:r w:rsidR="006966C2" w:rsidRPr="00F622DC">
        <w:rPr>
          <w:rFonts w:ascii="Cambria" w:hAnsi="Cambria"/>
          <w:sz w:val="20"/>
          <w:szCs w:val="20"/>
        </w:rPr>
        <w:t xml:space="preserve">, что составляет </w:t>
      </w:r>
      <w:r w:rsidR="009E4675" w:rsidRPr="00F622DC">
        <w:rPr>
          <w:rFonts w:ascii="Cambria" w:hAnsi="Cambria"/>
          <w:sz w:val="20"/>
          <w:szCs w:val="20"/>
        </w:rPr>
        <w:t>___________.</w:t>
      </w:r>
    </w:p>
    <w:p w:rsidR="00773297" w:rsidRPr="00F622DC" w:rsidRDefault="00773297" w:rsidP="00D34508">
      <w:pPr>
        <w:ind w:firstLine="567"/>
        <w:jc w:val="both"/>
        <w:rPr>
          <w:rFonts w:ascii="Cambria" w:hAnsi="Cambria"/>
          <w:sz w:val="20"/>
          <w:szCs w:val="20"/>
        </w:rPr>
      </w:pPr>
      <w:r w:rsidRPr="00F622DC">
        <w:rPr>
          <w:rFonts w:ascii="Cambria" w:hAnsi="Cambria"/>
          <w:sz w:val="20"/>
          <w:szCs w:val="20"/>
        </w:rPr>
        <w:t xml:space="preserve">2.2. </w:t>
      </w:r>
      <w:bookmarkStart w:id="0" w:name="_GoBack"/>
      <w:r w:rsidRPr="00F622DC">
        <w:rPr>
          <w:rFonts w:ascii="Cambria" w:hAnsi="Cambria"/>
          <w:sz w:val="20"/>
          <w:szCs w:val="20"/>
        </w:rPr>
        <w:t xml:space="preserve">Срок внесения задатка не позднее </w:t>
      </w:r>
      <w:r w:rsidR="0002068E">
        <w:rPr>
          <w:rStyle w:val="paragraph"/>
          <w:rFonts w:ascii="Cambria" w:hAnsi="Cambria"/>
          <w:sz w:val="20"/>
          <w:szCs w:val="20"/>
        </w:rPr>
        <w:t>окончания периода, в котором подана заявка</w:t>
      </w:r>
      <w:bookmarkEnd w:id="0"/>
      <w:r w:rsidR="006872FF" w:rsidRPr="00F622DC">
        <w:rPr>
          <w:rFonts w:ascii="Cambria" w:hAnsi="Cambria"/>
          <w:sz w:val="20"/>
          <w:szCs w:val="20"/>
        </w:rPr>
        <w:t>.</w:t>
      </w:r>
    </w:p>
    <w:p w:rsidR="00773297" w:rsidRPr="00462099" w:rsidRDefault="00773297" w:rsidP="00D34508">
      <w:pPr>
        <w:ind w:firstLine="567"/>
        <w:jc w:val="both"/>
        <w:rPr>
          <w:rFonts w:ascii="Cambria" w:hAnsi="Cambria"/>
          <w:sz w:val="20"/>
          <w:szCs w:val="20"/>
        </w:rPr>
      </w:pPr>
      <w:r w:rsidRPr="00F622DC">
        <w:rPr>
          <w:rFonts w:ascii="Cambria" w:hAnsi="Cambria"/>
          <w:sz w:val="20"/>
          <w:szCs w:val="20"/>
        </w:rPr>
        <w:t>2.3. Задаток считается внесенным с момента зачисления денежных средств</w:t>
      </w:r>
      <w:r w:rsidR="00FD70AA" w:rsidRPr="00F622DC">
        <w:rPr>
          <w:rFonts w:ascii="Cambria" w:hAnsi="Cambria"/>
          <w:sz w:val="20"/>
          <w:szCs w:val="20"/>
        </w:rPr>
        <w:t xml:space="preserve"> на счет, указанный в п. 2.1</w:t>
      </w:r>
      <w:r w:rsidRPr="00F622DC">
        <w:rPr>
          <w:rFonts w:ascii="Cambria" w:hAnsi="Cambria"/>
          <w:sz w:val="20"/>
          <w:szCs w:val="20"/>
        </w:rPr>
        <w:t>.</w:t>
      </w:r>
      <w:r w:rsidR="00FD70AA" w:rsidRPr="00F622DC">
        <w:rPr>
          <w:rFonts w:ascii="Cambria" w:hAnsi="Cambria"/>
          <w:sz w:val="20"/>
          <w:szCs w:val="20"/>
        </w:rPr>
        <w:t xml:space="preserve"> настоящего договора.</w:t>
      </w:r>
      <w:r w:rsidRPr="00F622DC">
        <w:rPr>
          <w:rFonts w:ascii="Cambria" w:hAnsi="Cambria"/>
          <w:sz w:val="20"/>
          <w:szCs w:val="20"/>
        </w:rPr>
        <w:t xml:space="preserve"> В противном случае обязательства Заявителя считаются неисполненными, и он</w:t>
      </w:r>
      <w:r w:rsidRPr="00462099">
        <w:rPr>
          <w:rFonts w:ascii="Cambria" w:hAnsi="Cambria"/>
          <w:sz w:val="20"/>
          <w:szCs w:val="20"/>
        </w:rPr>
        <w:t xml:space="preserve">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ООО «</w:t>
            </w:r>
            <w:r w:rsidR="00F622DC">
              <w:rPr>
                <w:rFonts w:ascii="Cambria" w:hAnsi="Cambria" w:cs="Times New Roman"/>
                <w:b/>
              </w:rPr>
              <w:t>БМК</w:t>
            </w:r>
            <w:r>
              <w:rPr>
                <w:rFonts w:ascii="Cambria" w:hAnsi="Cambria" w:cs="Times New Roman"/>
                <w:b/>
              </w:rPr>
              <w:t xml:space="preserve">»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F622DC" w:rsidP="004C6095">
            <w:pPr>
              <w:pStyle w:val="a9"/>
              <w:jc w:val="both"/>
              <w:rPr>
                <w:rFonts w:ascii="Cambria" w:hAnsi="Cambria" w:cs="Times New Roman"/>
                <w:sz w:val="20"/>
                <w:szCs w:val="20"/>
              </w:rPr>
            </w:pPr>
            <w:r w:rsidRPr="00F622DC">
              <w:rPr>
                <w:rFonts w:ascii="Cambria" w:hAnsi="Cambria" w:cs="Times New Roman"/>
              </w:rPr>
              <w:t>ИНН 2317051390, ОГРН 1082367001232</w:t>
            </w:r>
            <w:r w:rsidR="004C6095" w:rsidRPr="009529E6">
              <w:rPr>
                <w:rFonts w:ascii="Cambria" w:hAnsi="Cambria"/>
              </w:rPr>
              <w:t xml:space="preserve">, </w:t>
            </w:r>
            <w:r w:rsidR="004C6095"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F622DC">
        <w:rPr>
          <w:rFonts w:ascii="Cambria" w:hAnsi="Cambria" w:cs="Times New Roman"/>
          <w:b/>
          <w:sz w:val="20"/>
          <w:szCs w:val="20"/>
        </w:rPr>
        <w:t>БМК</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2068E"/>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55684"/>
    <w:rsid w:val="00870240"/>
    <w:rsid w:val="00882993"/>
    <w:rsid w:val="008D011E"/>
    <w:rsid w:val="008E0C00"/>
    <w:rsid w:val="008F7918"/>
    <w:rsid w:val="00953A76"/>
    <w:rsid w:val="0097687D"/>
    <w:rsid w:val="009828C2"/>
    <w:rsid w:val="0099542B"/>
    <w:rsid w:val="009D66A5"/>
    <w:rsid w:val="009E4675"/>
    <w:rsid w:val="00A64C6B"/>
    <w:rsid w:val="00AE5BF5"/>
    <w:rsid w:val="00B111CB"/>
    <w:rsid w:val="00B32018"/>
    <w:rsid w:val="00B50185"/>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622DC"/>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6B8DFF"/>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4AzqqeRJxOhdaJXBczpCarGRtrOdeuyehyUhxtXQaC0=</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kk5Gu8fyajvuL3RcO2ipFvfAkg4EO7p/++HPt5bxW7A=</DigestValue>
    </Reference>
  </SignedInfo>
  <SignatureValue>tVmiRrKk7V8Z1HshcQu5+4ajHwA45iruKWkDToQP3n4mlNu/2Kb/zSmL+bcjeyaOydsJnG6lcRfY
OPrtBeNuTw==</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lbRJ6AQTdhJRpdTQpEuq+9tb7xG6iQh8zrHts7eF1O8=</DigestValue>
      </Reference>
      <Reference URI="/word/fontTable.xml?ContentType=application/vnd.openxmlformats-officedocument.wordprocessingml.fontTable+xml">
        <DigestMethod Algorithm="urn:ietf:params:xml:ns:cpxmlsec:algorithms:gostr34112012-256"/>
        <DigestValue>ERWtZXKNdICnNNH+AYA9Es6up/gOwq++2clKT2AmMZ0=</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c0F2zj6gHEMxCRrm/XNefpzK1FJgaP4p50wn27np2hY=</DigestValue>
      </Reference>
      <Reference URI="/word/styles.xml?ContentType=application/vnd.openxmlformats-officedocument.wordprocessingml.styles+xml">
        <DigestMethod Algorithm="urn:ietf:params:xml:ns:cpxmlsec:algorithms:gostr34112012-256"/>
        <DigestValue>s41pZ8/wQwW5wP+PRAL4/hByqtJ4T8vEiyPFbq9S84U=</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2024-07-10T10:48:55Z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2024-07-10T10:48:55Z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AD7A-4C24-4668-848F-3F1A8CB2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29</cp:revision>
  <cp:lastPrinted>2010-09-29T15:55:00Z</cp:lastPrinted>
  <dcterms:created xsi:type="dcterms:W3CDTF">2015-07-14T07:06:00Z</dcterms:created>
  <dcterms:modified xsi:type="dcterms:W3CDTF">2024-07-10T10:48:00Z</dcterms:modified>
</cp:coreProperties>
</file>