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362B1758" w:rsidR="00CB638E" w:rsidRDefault="00D637F6" w:rsidP="00CB638E">
      <w:pPr>
        <w:spacing w:after="0" w:line="240" w:lineRule="auto"/>
        <w:ind w:firstLine="567"/>
        <w:jc w:val="both"/>
      </w:pPr>
      <w:r w:rsidRPr="00D637F6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ungur</w:t>
      </w:r>
      <w:r w:rsidRPr="00D637F6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Закрытым акционерным обществом «МОССТРОЙЭКОНОМБАНК» (ЗАО «М БАНК») (адрес регистрации: 117393, г. Москва, ул. Профсоюзная, д. 78, стр. 1, ИНН 7728185046, ОГРН 1027739109914) (далее – финансовая организация), конкурсным управляющим (ликвидатором) которого на основании решения Арбитражного суда г. Москвы от 26 октября 2015 г. по делу №А40-151926/15 является государственная корпорация «Агентство по страхованию вкладов» (109240, г. Москва, ул. Высоцкого, д. 4) </w:t>
      </w:r>
      <w:r w:rsidR="00CB638E">
        <w:t xml:space="preserve">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2E2B5AC5" w:rsidR="00CB638E" w:rsidRPr="00D637F6" w:rsidRDefault="00CB638E" w:rsidP="009B6B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637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022C54AE" w14:textId="7BF08169" w:rsidR="009B6BBF" w:rsidRPr="009B6BBF" w:rsidRDefault="009B6BBF" w:rsidP="009B6BB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9B6BBF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9B6BBF">
        <w:rPr>
          <w:rFonts w:ascii="Times New Roman CYR" w:hAnsi="Times New Roman CYR" w:cs="Times New Roman CYR"/>
          <w:color w:val="000000"/>
        </w:rPr>
        <w:t>1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9B6BBF">
        <w:rPr>
          <w:rFonts w:ascii="Times New Roman CYR" w:hAnsi="Times New Roman CYR" w:cs="Times New Roman CYR"/>
          <w:color w:val="000000"/>
        </w:rPr>
        <w:t>Кутузов Алексей Витальевич, созаемщик Кутузова Елена Алексеевна, КД 60-2008-0046/КД от 15.02.2008, имеется закладная, решение Приобского районного суда г. Бийска Алтайского края от 08.04.2010 по делу 2-489/2010, истек срок для предъявления ИЛ (1 069 138,28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9B6BBF">
        <w:rPr>
          <w:rFonts w:ascii="Times New Roman CYR" w:hAnsi="Times New Roman CYR" w:cs="Times New Roman CYR"/>
          <w:color w:val="000000"/>
        </w:rPr>
        <w:t>1 069 138,28</w:t>
      </w:r>
      <w:r w:rsidRPr="009B6BBF">
        <w:rPr>
          <w:rFonts w:ascii="Times New Roman CYR" w:hAnsi="Times New Roman CYR" w:cs="Times New Roman CYR"/>
          <w:color w:val="000000"/>
        </w:rPr>
        <w:tab/>
        <w:t>руб.</w:t>
      </w:r>
    </w:p>
    <w:p w14:paraId="4D18E2EF" w14:textId="50D7BDD8" w:rsidR="00D637F6" w:rsidRPr="009B6BBF" w:rsidRDefault="009B6BBF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9B6BBF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9B6BBF">
        <w:rPr>
          <w:rFonts w:ascii="Times New Roman CYR" w:hAnsi="Times New Roman CYR" w:cs="Times New Roman CYR"/>
          <w:color w:val="000000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9B6BBF">
        <w:rPr>
          <w:rFonts w:ascii="Times New Roman CYR" w:hAnsi="Times New Roman CYR" w:cs="Times New Roman CYR"/>
          <w:color w:val="000000"/>
        </w:rPr>
        <w:t>Швецова Людмила Ивановна, КД 63-2010-0022/КД от 20.04.2010, имеется закладная, решение Советского районного суда г. Воронежа от 28.04.2014 по делу 2-4/14 на сумму 1 974 844,45 руб. (2</w:t>
      </w:r>
      <w:r w:rsidRPr="009B6BBF">
        <w:rPr>
          <w:rFonts w:ascii="Times New Roman CYR" w:hAnsi="Times New Roman CYR" w:cs="Times New Roman CYR"/>
          <w:color w:val="000000"/>
          <w:lang w:val="en-US"/>
        </w:rPr>
        <w:t> </w:t>
      </w:r>
      <w:r w:rsidRPr="009B6BBF">
        <w:rPr>
          <w:rFonts w:ascii="Times New Roman CYR" w:hAnsi="Times New Roman CYR" w:cs="Times New Roman CYR"/>
          <w:color w:val="000000"/>
        </w:rPr>
        <w:t>185 409,60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9B6BBF">
        <w:rPr>
          <w:rFonts w:ascii="Times New Roman CYR" w:hAnsi="Times New Roman CYR" w:cs="Times New Roman CYR"/>
          <w:color w:val="000000"/>
        </w:rPr>
        <w:t>2 185 409,60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9B6BBF">
        <w:rPr>
          <w:rFonts w:ascii="Times New Roman CYR" w:hAnsi="Times New Roman CYR" w:cs="Times New Roman CYR"/>
          <w:color w:val="000000"/>
        </w:rPr>
        <w:t>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2E6B901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55361A" w:rsidRPr="0055361A">
        <w:rPr>
          <w:rFonts w:ascii="Times New Roman CYR" w:hAnsi="Times New Roman CYR" w:cs="Times New Roman CYR"/>
          <w:b/>
          <w:bCs/>
          <w:color w:val="000000"/>
        </w:rPr>
        <w:t>22 июля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78066B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55361A" w:rsidRPr="0055361A">
        <w:rPr>
          <w:b/>
          <w:bCs/>
          <w:color w:val="000000"/>
        </w:rPr>
        <w:t>22 июля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55361A" w:rsidRPr="0055361A">
        <w:rPr>
          <w:b/>
          <w:bCs/>
          <w:color w:val="000000"/>
        </w:rPr>
        <w:t>09 сентября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442267A3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55361A" w:rsidRPr="0055361A">
        <w:rPr>
          <w:b/>
          <w:bCs/>
          <w:color w:val="000000"/>
        </w:rPr>
        <w:t>11 июня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55361A" w:rsidRPr="0055361A">
        <w:rPr>
          <w:b/>
          <w:bCs/>
          <w:color w:val="000000"/>
        </w:rPr>
        <w:t>29 июля</w:t>
      </w:r>
      <w:r w:rsidR="0055361A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55361A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6C5DF569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55361A">
        <w:rPr>
          <w:b/>
          <w:bCs/>
          <w:color w:val="000000"/>
        </w:rPr>
        <w:t>13 сентября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 по </w:t>
      </w:r>
      <w:r w:rsidR="0055361A">
        <w:rPr>
          <w:b/>
          <w:bCs/>
          <w:color w:val="000000"/>
        </w:rPr>
        <w:t>23 октября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729E7B33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4864F3" w:rsidRPr="004864F3">
        <w:rPr>
          <w:b/>
          <w:bCs/>
          <w:color w:val="000000"/>
        </w:rPr>
        <w:t>13 сентября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4864F3">
        <w:rPr>
          <w:color w:val="000000"/>
        </w:rPr>
        <w:t>1</w:t>
      </w:r>
      <w:r w:rsidRPr="004864F3">
        <w:rPr>
          <w:color w:val="000000"/>
        </w:rPr>
        <w:t xml:space="preserve"> (</w:t>
      </w:r>
      <w:r w:rsidR="00F17038" w:rsidRPr="004864F3">
        <w:rPr>
          <w:color w:val="000000"/>
        </w:rPr>
        <w:t>Один</w:t>
      </w:r>
      <w:r w:rsidRPr="004864F3">
        <w:rPr>
          <w:color w:val="000000"/>
        </w:rPr>
        <w:t>) календарны</w:t>
      </w:r>
      <w:r w:rsidR="00F17038" w:rsidRPr="004864F3">
        <w:rPr>
          <w:color w:val="000000"/>
        </w:rPr>
        <w:t>й</w:t>
      </w:r>
      <w:r w:rsidRPr="004864F3">
        <w:rPr>
          <w:color w:val="000000"/>
        </w:rPr>
        <w:t xml:space="preserve"> де</w:t>
      </w:r>
      <w:r w:rsidR="00F17038" w:rsidRPr="004864F3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5246E8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4300B808" w14:textId="61A48BD5" w:rsidR="004864F3" w:rsidRPr="004864F3" w:rsidRDefault="004864F3" w:rsidP="004864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4F3">
        <w:rPr>
          <w:rFonts w:ascii="Times New Roman" w:hAnsi="Times New Roman" w:cs="Times New Roman"/>
          <w:color w:val="000000"/>
          <w:sz w:val="24"/>
          <w:szCs w:val="24"/>
        </w:rPr>
        <w:t>с 13 сентября 2024 г. по 23 сентября 2024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4864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DA0E08D" w14:textId="657D15E6" w:rsidR="004864F3" w:rsidRPr="004864F3" w:rsidRDefault="004864F3" w:rsidP="004864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4F3">
        <w:rPr>
          <w:rFonts w:ascii="Times New Roman" w:hAnsi="Times New Roman" w:cs="Times New Roman"/>
          <w:color w:val="000000"/>
          <w:sz w:val="24"/>
          <w:szCs w:val="24"/>
        </w:rPr>
        <w:t>с 24 сентября 2024 г. по 03 октября 2024 г. - в размере 96,30%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4864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D34C4C" w14:textId="237201B8" w:rsidR="004864F3" w:rsidRPr="004864F3" w:rsidRDefault="004864F3" w:rsidP="004864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4F3">
        <w:rPr>
          <w:rFonts w:ascii="Times New Roman" w:hAnsi="Times New Roman" w:cs="Times New Roman"/>
          <w:color w:val="000000"/>
          <w:sz w:val="24"/>
          <w:szCs w:val="24"/>
        </w:rPr>
        <w:t>с 04 октября 2024 г. по 13 октября 2024 г. - в размере 92,60%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4864F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47AC59A" w14:textId="3D1981E1" w:rsidR="00097526" w:rsidRDefault="004864F3" w:rsidP="004864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64F3">
        <w:rPr>
          <w:rFonts w:ascii="Times New Roman" w:hAnsi="Times New Roman" w:cs="Times New Roman"/>
          <w:color w:val="000000"/>
          <w:sz w:val="24"/>
          <w:szCs w:val="24"/>
        </w:rPr>
        <w:t>с 14 октября 2024 г. по 23 октября 2024 г. - в размере 88,90%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A115B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44BB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2B40A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B40AE">
        <w:rPr>
          <w:rFonts w:ascii="Times New Roman" w:hAnsi="Times New Roman" w:cs="Times New Roman"/>
          <w:color w:val="000000"/>
          <w:sz w:val="24"/>
          <w:szCs w:val="24"/>
        </w:rPr>
        <w:t xml:space="preserve"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0AE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11A1B359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0AE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</w:t>
      </w:r>
      <w:r w:rsidR="002B40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40AE" w:rsidRPr="002B40AE">
        <w:rPr>
          <w:rFonts w:ascii="Times New Roman" w:hAnsi="Times New Roman" w:cs="Times New Roman"/>
          <w:color w:val="000000"/>
          <w:sz w:val="24"/>
          <w:szCs w:val="24"/>
        </w:rPr>
        <w:t>КУ с 10:00 до 16:00 по адресу: г. Москва, Павелецкая наб., д. 8, тел. 8 (800) 505-80-32</w:t>
      </w:r>
      <w:r w:rsidRPr="002B40AE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2B40AE" w:rsidRPr="002B40AE">
        <w:rPr>
          <w:rFonts w:ascii="Times New Roman" w:hAnsi="Times New Roman" w:cs="Times New Roman"/>
          <w:color w:val="000000"/>
          <w:sz w:val="24"/>
          <w:szCs w:val="24"/>
        </w:rPr>
        <w:t>Кириллова Анастасия</w:t>
      </w:r>
      <w:r w:rsidR="002B40A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B40AE" w:rsidRPr="002B40AE">
        <w:rPr>
          <w:rFonts w:ascii="Times New Roman" w:hAnsi="Times New Roman" w:cs="Times New Roman"/>
          <w:color w:val="000000"/>
          <w:sz w:val="24"/>
          <w:szCs w:val="24"/>
        </w:rPr>
        <w:t>тел. 7921-994-22-59, эл. почта: informspb@auction-house.ru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2B40AE"/>
    <w:rsid w:val="00357F4D"/>
    <w:rsid w:val="0037642D"/>
    <w:rsid w:val="00467D6B"/>
    <w:rsid w:val="0047453A"/>
    <w:rsid w:val="0048363D"/>
    <w:rsid w:val="004864F3"/>
    <w:rsid w:val="004D047C"/>
    <w:rsid w:val="00500FD3"/>
    <w:rsid w:val="005246E8"/>
    <w:rsid w:val="00532A30"/>
    <w:rsid w:val="0055361A"/>
    <w:rsid w:val="005F1F68"/>
    <w:rsid w:val="0066094B"/>
    <w:rsid w:val="00662676"/>
    <w:rsid w:val="00697675"/>
    <w:rsid w:val="007229EA"/>
    <w:rsid w:val="00761B81"/>
    <w:rsid w:val="007A1F5D"/>
    <w:rsid w:val="007B55CF"/>
    <w:rsid w:val="007C44BB"/>
    <w:rsid w:val="00803558"/>
    <w:rsid w:val="00865FD7"/>
    <w:rsid w:val="00886E3A"/>
    <w:rsid w:val="00950CC9"/>
    <w:rsid w:val="009A0BFC"/>
    <w:rsid w:val="009A1244"/>
    <w:rsid w:val="009B6BBF"/>
    <w:rsid w:val="009C353B"/>
    <w:rsid w:val="009C4FD4"/>
    <w:rsid w:val="009E11A5"/>
    <w:rsid w:val="009E6456"/>
    <w:rsid w:val="009E7E5E"/>
    <w:rsid w:val="00A95FD6"/>
    <w:rsid w:val="00AB08E7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637F6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45</cp:revision>
  <dcterms:created xsi:type="dcterms:W3CDTF">2019-07-23T07:47:00Z</dcterms:created>
  <dcterms:modified xsi:type="dcterms:W3CDTF">2024-05-31T09:55:00Z</dcterms:modified>
</cp:coreProperties>
</file>