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913D465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0D283F" w:rsidRPr="000D283F">
        <w:rPr>
          <w:rFonts w:ascii="Times New Roman" w:hAnsi="Times New Roman"/>
          <w:sz w:val="22"/>
          <w:szCs w:val="22"/>
        </w:rPr>
        <w:t>Квартира площадью 63,2 кв.м., расположенная по адресу: Республика Бурятия, г. Улан-Удэ, ул. Иванова, д. 19, кв. 133, кадастровый номер: 03:24:022222:142, этаж: 4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8986CA4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D283F" w:rsidRPr="000D283F">
        <w:rPr>
          <w:rFonts w:ascii="Times New Roman" w:hAnsi="Times New Roman"/>
          <w:sz w:val="22"/>
          <w:szCs w:val="22"/>
        </w:rPr>
        <w:t>5 % (пять процентов)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36</cp:revision>
  <cp:lastPrinted>2022-02-18T09:03:00Z</cp:lastPrinted>
  <dcterms:created xsi:type="dcterms:W3CDTF">2022-02-21T14:26:00Z</dcterms:created>
  <dcterms:modified xsi:type="dcterms:W3CDTF">2024-07-30T11:00:00Z</dcterms:modified>
</cp:coreProperties>
</file>