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333"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Козловская Оксана Михайловна (08.02.1995г.р., место рожд: гор. Екатеринбург, адрес рег: 620146, Свердловская обл, Екатеринбург г, Волгоградская ул, дом № 168, СНИЛС17002924428, ИНН 667100521935, паспорт РФ серия 6514, номер 975926, выдан 07.03.2015, кем выдан Отделом УФМС России по Свердловской области в Ленинском р-не гор.Екатеринбурга, код подразделения 660-006),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12.12.2023г. по делу №А60-57746/2023,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17.06.2024г. по продаже имущества Козловской Оксаны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GRANTA, модель: LADA GRANTA, VIN: XTA219010L0679166, год изготовления: 2020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17.06.2024г.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Козловской Оксаны Михайловны 40817810550174029990,</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Козловская Оксана Михайловна (08.02.1995г.р., место рожд: гор. Екатеринбург, адрес рег: 620146, Свердловская обл, Екатеринбург г, Волгоградская ул, дом № 168, СНИЛС17002924428, ИНН 667100521935, паспорт РФ серия 6514, номер 975926, выдан 07.03.2015, кем выдан Отделом УФМС России по Свердловской области в Ленинском р-не гор.Екатеринбурга, код подразделения 660-006)</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Козловской Оксаны Михайловны 40817810550174029990,</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Козловской Оксаны Михайловны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1190</Words>
  <Characters>8519</Characters>
  <CharactersWithSpaces>9662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2024-05-06T16:26:53Z</dcterms:modified>
  <cp:revision>1</cp:revision>
  <dc:subject/>
  <dc:title/>
</cp:coreProperties>
</file>