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775CDCED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2C1B25">
        <w:rPr>
          <w:b/>
        </w:rPr>
        <w:t>27</w:t>
      </w:r>
      <w:r w:rsidR="004B28A7">
        <w:rPr>
          <w:b/>
        </w:rPr>
        <w:t xml:space="preserve"> </w:t>
      </w:r>
      <w:r w:rsidR="002C1B25">
        <w:rPr>
          <w:b/>
        </w:rPr>
        <w:t>сентября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59D8DE82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2C1B25">
        <w:rPr>
          <w:b/>
        </w:rPr>
        <w:t>05.08</w:t>
      </w:r>
      <w:r w:rsidR="004779B0">
        <w:rPr>
          <w:b/>
        </w:rPr>
        <w:t>.</w:t>
      </w:r>
      <w:r w:rsidR="00445CC8">
        <w:rPr>
          <w:b/>
        </w:rPr>
        <w:t>202</w:t>
      </w:r>
      <w:r w:rsidR="000A5E39">
        <w:rPr>
          <w:b/>
        </w:rPr>
        <w:t>4</w:t>
      </w:r>
      <w:r w:rsidR="00445CC8">
        <w:rPr>
          <w:b/>
        </w:rPr>
        <w:t xml:space="preserve"> г. по </w:t>
      </w:r>
      <w:r w:rsidR="002C1B25">
        <w:rPr>
          <w:b/>
        </w:rPr>
        <w:t>25.09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до </w:t>
      </w:r>
      <w:r w:rsidR="002C1B25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1282A606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2C1B25">
        <w:rPr>
          <w:b/>
        </w:rPr>
        <w:t>25</w:t>
      </w:r>
      <w:r w:rsidR="00935604">
        <w:rPr>
          <w:b/>
        </w:rPr>
        <w:t>.</w:t>
      </w:r>
      <w:r w:rsidR="002C1B25">
        <w:rPr>
          <w:b/>
        </w:rPr>
        <w:t>09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</w:t>
      </w:r>
      <w:r w:rsidR="002C1B25">
        <w:rPr>
          <w:b/>
        </w:rPr>
        <w:t>до 18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2B389D09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2C1B25">
        <w:rPr>
          <w:b/>
        </w:rPr>
        <w:t>26.09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 w:rsidR="00E7338D">
        <w:rPr>
          <w:b/>
        </w:rPr>
        <w:t xml:space="preserve"> г. в </w:t>
      </w:r>
      <w:r w:rsidR="002C1B25">
        <w:rPr>
          <w:b/>
        </w:rPr>
        <w:t>12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3AF00325" w14:textId="77777777" w:rsidR="002C1B25" w:rsidRDefault="002C1B25" w:rsidP="002C1B25">
      <w:r>
        <w:rPr>
          <w:rFonts w:eastAsia="SimSun;宋体"/>
          <w:lang w:eastAsia="hi-IN"/>
        </w:rPr>
        <w:t>Нежилое помещение по адресу: г. Санкт-Петербург, проспект Ветеранов, дом 101, корпус 1, литера А, помещение 31-Н</w:t>
      </w:r>
      <w:r>
        <w:rPr>
          <w:rFonts w:eastAsia="SimSun;宋体"/>
          <w:shd w:val="clear" w:color="auto" w:fill="FFFFFF"/>
          <w:lang w:eastAsia="hi-IN"/>
        </w:rPr>
        <w:t xml:space="preserve">, площадью 2 266 кв.м., этаж: 4, кадастровый номер: 78:15:0008435:5181  </w:t>
      </w:r>
    </w:p>
    <w:p w14:paraId="24B5881F" w14:textId="44991F96" w:rsidR="002C1B25" w:rsidRDefault="002C1B25" w:rsidP="002C1B25">
      <w:r>
        <w:rPr>
          <w:rFonts w:eastAsia="SimSun;宋体"/>
          <w:lang w:eastAsia="hi-IN"/>
        </w:rPr>
        <w:t>Обременения (ограничения) в соотв</w:t>
      </w:r>
      <w:r w:rsidR="003F42F6">
        <w:rPr>
          <w:rFonts w:eastAsia="SimSun;宋体"/>
          <w:lang w:eastAsia="hi-IN"/>
        </w:rPr>
        <w:t>етствии с выпиской из ЕГРН от 31</w:t>
      </w:r>
      <w:r>
        <w:rPr>
          <w:rFonts w:eastAsia="SimSun;宋体"/>
          <w:lang w:eastAsia="hi-IN"/>
        </w:rPr>
        <w:t>.07.2024:</w:t>
      </w:r>
    </w:p>
    <w:p w14:paraId="6333D365" w14:textId="77777777" w:rsidR="002C1B25" w:rsidRDefault="002C1B25" w:rsidP="002C1B25">
      <w:r>
        <w:rPr>
          <w:rFonts w:eastAsia="SimSun;宋体"/>
          <w:lang w:eastAsia="hi-IN"/>
        </w:rPr>
        <w:t>- Аренда в пользу ООО «Кино», ИНН: 7806597890, срок действия с 16.08.2022 на 15 лет;</w:t>
      </w:r>
    </w:p>
    <w:p w14:paraId="5641A421" w14:textId="77777777" w:rsidR="002C1B25" w:rsidRDefault="002C1B25" w:rsidP="002C1B25">
      <w:r>
        <w:rPr>
          <w:rFonts w:eastAsia="SimSun;宋体"/>
          <w:lang w:eastAsia="hi-IN"/>
        </w:rPr>
        <w:t>- Аренда в пользу ООО «Бульвар Капуцинов», ИНН: 7801722868, срок действия с 02.06.2023 по 30.09.2024;</w:t>
      </w:r>
    </w:p>
    <w:p w14:paraId="5654B09D" w14:textId="5DDA5129" w:rsidR="00B37EC1" w:rsidRDefault="002C1B25" w:rsidP="002C1B25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ab/>
        <w:t>Права и обязанности арендатора земельного участка под Объектом не оформлены</w:t>
      </w:r>
      <w:r w:rsidR="00005B18">
        <w:rPr>
          <w:rFonts w:eastAsia="SimSun;宋体"/>
          <w:lang w:eastAsia="hi-IN"/>
        </w:rPr>
        <w:t>.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7AF5AD56" w14:textId="63CC85C8" w:rsidR="004C7095" w:rsidRPr="00F25D10" w:rsidRDefault="00B1256D" w:rsidP="00F25D10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2C1B25">
        <w:rPr>
          <w:b/>
          <w:bCs/>
        </w:rPr>
        <w:t>99</w:t>
      </w:r>
      <w:r w:rsidR="004C7095">
        <w:rPr>
          <w:b/>
          <w:bCs/>
        </w:rPr>
        <w:t xml:space="preserve"> 000 000 (</w:t>
      </w:r>
      <w:r w:rsidR="002C1B25">
        <w:rPr>
          <w:b/>
          <w:bCs/>
        </w:rPr>
        <w:t>девяносто девять миллионов)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4619DE8C" w14:textId="15133B13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2C1B25">
        <w:rPr>
          <w:b/>
          <w:szCs w:val="24"/>
        </w:rPr>
        <w:t>10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2C1B25">
        <w:rPr>
          <w:b/>
          <w:szCs w:val="24"/>
        </w:rPr>
        <w:t>десять миллионов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5474502A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2 5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2C1B25">
        <w:rPr>
          <w:b/>
          <w:szCs w:val="24"/>
        </w:rPr>
        <w:t>два миллиона пятьсот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 xml:space="preserve">несостоятельности </w:t>
        </w:r>
        <w:r w:rsidRPr="000B4275"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rPr>
          <w:szCs w:val="24"/>
        </w:rPr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1540484F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2C1B25">
        <w:rPr>
          <w:b/>
          <w:szCs w:val="24"/>
        </w:rPr>
        <w:t>25.09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4C7095">
        <w:rPr>
          <w:b/>
          <w:szCs w:val="24"/>
        </w:rPr>
        <w:t>4</w:t>
      </w:r>
      <w:r w:rsidRPr="000B4275">
        <w:rPr>
          <w:b/>
          <w:szCs w:val="24"/>
        </w:rPr>
        <w:t xml:space="preserve"> г.</w:t>
      </w:r>
      <w:r w:rsidR="002C1B25">
        <w:rPr>
          <w:b/>
          <w:szCs w:val="24"/>
        </w:rPr>
        <w:t xml:space="preserve"> до 18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</w:t>
      </w:r>
      <w:r w:rsidR="00B1256D" w:rsidRPr="000B4275">
        <w:rPr>
          <w:szCs w:val="24"/>
        </w:rPr>
        <w:lastRenderedPageBreak/>
        <w:t xml:space="preserve">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</w:t>
      </w:r>
      <w:r w:rsidRPr="00D93964">
        <w:rPr>
          <w:szCs w:val="24"/>
        </w:rPr>
        <w:lastRenderedPageBreak/>
        <w:t>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1E248626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 w:rsidR="00097C40"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 w:rsidR="00FA4FF9"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278D21EA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 w:rsidR="00097C40"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2E1945">
        <w:rPr>
          <w:szCs w:val="24"/>
        </w:rPr>
        <w:t xml:space="preserve">позднее </w:t>
      </w:r>
      <w:bookmarkStart w:id="0" w:name="_GoBack"/>
      <w:bookmarkEnd w:id="0"/>
      <w:r w:rsidR="00FA4FF9"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097C40">
        <w:rPr>
          <w:szCs w:val="24"/>
        </w:rPr>
        <w:t>по телефону,</w:t>
      </w:r>
      <w:r w:rsidR="00ED38B5">
        <w:rPr>
          <w:szCs w:val="24"/>
        </w:rPr>
        <w:t xml:space="preserve">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3963E504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485592AF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 w:rsidR="00097C40"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4E001B63" w14:textId="0C1A549D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B5696" w14:textId="77777777" w:rsidR="005F6DF7" w:rsidRDefault="005F6DF7" w:rsidP="00AB1487">
      <w:pPr>
        <w:spacing w:after="0" w:line="240" w:lineRule="auto"/>
      </w:pPr>
      <w:r>
        <w:separator/>
      </w:r>
    </w:p>
  </w:endnote>
  <w:endnote w:type="continuationSeparator" w:id="0">
    <w:p w14:paraId="0015205F" w14:textId="77777777" w:rsidR="005F6DF7" w:rsidRDefault="005F6DF7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14141" w14:textId="77777777" w:rsidR="005F6DF7" w:rsidRDefault="005F6DF7" w:rsidP="00AB1487">
      <w:pPr>
        <w:spacing w:after="0" w:line="240" w:lineRule="auto"/>
      </w:pPr>
      <w:r>
        <w:separator/>
      </w:r>
    </w:p>
  </w:footnote>
  <w:footnote w:type="continuationSeparator" w:id="0">
    <w:p w14:paraId="02217631" w14:textId="77777777" w:rsidR="005F6DF7" w:rsidRDefault="005F6DF7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103342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2E194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342A3"/>
    <w:rsid w:val="00445CC8"/>
    <w:rsid w:val="00476AAC"/>
    <w:rsid w:val="004779B0"/>
    <w:rsid w:val="004A299F"/>
    <w:rsid w:val="004B28A7"/>
    <w:rsid w:val="004C7095"/>
    <w:rsid w:val="005049F2"/>
    <w:rsid w:val="0053300A"/>
    <w:rsid w:val="0056567A"/>
    <w:rsid w:val="00570488"/>
    <w:rsid w:val="0059248D"/>
    <w:rsid w:val="005C5D51"/>
    <w:rsid w:val="005F6DF7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E74B6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B4B1-8D38-400C-969A-816901A6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54</cp:revision>
  <dcterms:created xsi:type="dcterms:W3CDTF">2022-08-11T07:44:00Z</dcterms:created>
  <dcterms:modified xsi:type="dcterms:W3CDTF">2024-08-09T13:46:00Z</dcterms:modified>
</cp:coreProperties>
</file>