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3F424FC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51A1D" w:rsidRPr="00F51A1D">
        <w:rPr>
          <w:rFonts w:ascii="Times New Roman" w:hAnsi="Times New Roman" w:cs="Times New Roman"/>
          <w:color w:val="000000"/>
          <w:sz w:val="24"/>
          <w:szCs w:val="24"/>
        </w:rPr>
        <w:t>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0C572F7" w:rsidR="00B368B1" w:rsidRDefault="00F51A1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51A1D">
        <w:t>Земельный участок-179 010 кв. м, адрес: местоположение установлено относительно ориентира, расположенного в границах участка, почтовый адрес ориентира: обл. Тверская, р-н Зубцовский, с/пос Зубцовское, вблизи д. Гармоново, кадастровый номер 69:09:0000010:183, земли сельскохозяйственного назначения-для дачного строительства</w:t>
      </w:r>
      <w:r>
        <w:t xml:space="preserve"> - </w:t>
      </w:r>
      <w:r w:rsidRPr="00F51A1D">
        <w:t>11 050 000,00</w:t>
      </w:r>
      <w:r>
        <w:t xml:space="preserve"> руб.;</w:t>
      </w:r>
    </w:p>
    <w:p w14:paraId="454C080B" w14:textId="486EA446" w:rsidR="00F51A1D" w:rsidRDefault="00F51A1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F51A1D">
        <w:t>Земельный участок-138 035 кв. м, адрес: местоположение установлено относительно ориентира, расположенного в границах участка, почтовый адрес ориентира: обл. Тверская, р-н Зубцовский, с/пос Зубцовское, вблизи д. Гармоново, кадастровый номер 69:09:0000010:184, земли сельскохозяйственного назначения-для дачного строительства</w:t>
      </w:r>
      <w:r>
        <w:t xml:space="preserve"> - </w:t>
      </w:r>
      <w:r w:rsidRPr="00F51A1D">
        <w:t>8 500 000,00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1C27BE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51A1D" w:rsidRPr="00F51A1D">
        <w:rPr>
          <w:rFonts w:ascii="Times New Roman CYR" w:hAnsi="Times New Roman CYR" w:cs="Times New Roman CYR"/>
          <w:b/>
          <w:bCs/>
          <w:color w:val="000000"/>
        </w:rPr>
        <w:t>18 июня</w:t>
      </w:r>
      <w:r w:rsidR="00F51A1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A03A21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51A1D" w:rsidRPr="00F51A1D">
        <w:rPr>
          <w:b/>
          <w:bCs/>
          <w:color w:val="000000"/>
        </w:rPr>
        <w:t>18 июня</w:t>
      </w:r>
      <w:r w:rsidR="00F51A1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51A1D" w:rsidRPr="00F51A1D">
        <w:rPr>
          <w:b/>
          <w:bCs/>
          <w:color w:val="000000"/>
        </w:rPr>
        <w:t>05 августа</w:t>
      </w:r>
      <w:r w:rsidR="00F51A1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386268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51A1D" w:rsidRPr="00F51A1D">
        <w:rPr>
          <w:b/>
          <w:bCs/>
          <w:color w:val="000000"/>
        </w:rPr>
        <w:t>03 мая</w:t>
      </w:r>
      <w:r w:rsidR="00F51A1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51A1D" w:rsidRPr="00F51A1D">
        <w:rPr>
          <w:b/>
          <w:bCs/>
          <w:color w:val="000000"/>
        </w:rPr>
        <w:t>24 июня</w:t>
      </w:r>
      <w:r w:rsidR="00F51A1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F51A1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CC4921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51A1D">
        <w:rPr>
          <w:b/>
          <w:bCs/>
          <w:color w:val="000000"/>
        </w:rPr>
        <w:t xml:space="preserve">06 августа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51A1D">
        <w:rPr>
          <w:b/>
          <w:bCs/>
          <w:color w:val="000000"/>
        </w:rPr>
        <w:t xml:space="preserve">13 сентября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55AAB2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F51A1D" w:rsidRPr="00F5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августа</w:t>
      </w:r>
      <w:r w:rsid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F5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51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D660AB6" w14:textId="77777777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06 августа 2024 г. по 12 августа 2024 г. - в размере начальной цены продажи лота;</w:t>
      </w:r>
    </w:p>
    <w:p w14:paraId="2EB5BF69" w14:textId="33542AEC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13 августа 2024 г. по 17 августа 2024 г. - в размере 90,56% от начальной цены продажи лота;</w:t>
      </w:r>
    </w:p>
    <w:p w14:paraId="0D7CEA14" w14:textId="2E579F9A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18 августа 2024 г. по 20 августа 2024 г. - в размере 81,12% от начальной цены продажи лота;</w:t>
      </w:r>
    </w:p>
    <w:p w14:paraId="0C2CA6F5" w14:textId="2A24DF45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21 августа 2024 г. по 23 августа 2024 г. - в размере 71,68% от начальной цены продажи лота;</w:t>
      </w:r>
    </w:p>
    <w:p w14:paraId="280DC67E" w14:textId="4B2A5045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24 августа 2024 г. по 26 августа 2024 г. - в размере 62,24% от начальной цены продажи лота;</w:t>
      </w:r>
    </w:p>
    <w:p w14:paraId="3384A02C" w14:textId="570D1E8B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27 августа 2024 г. по 29 августа 2024 г. - в размере 52,80% от начальной цены продажи лота;</w:t>
      </w:r>
    </w:p>
    <w:p w14:paraId="02018E02" w14:textId="1C94E9E5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30 августа 2024 г. по 01 сентября 2024 г. - в размере 43,36% от начальной цены продажи лота;</w:t>
      </w:r>
    </w:p>
    <w:p w14:paraId="10B183EC" w14:textId="32205B85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02 сентября 2024 г. по 04 сентября 2024 г. - в размере 33,92% от начальной цены продажи лота;</w:t>
      </w:r>
    </w:p>
    <w:p w14:paraId="051EBA20" w14:textId="11AE101C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05 сентября 2024 г. по 07 сентября 2024 г. - в размере 24,48% от начальной цены продажи лота;</w:t>
      </w:r>
    </w:p>
    <w:p w14:paraId="06D70963" w14:textId="13FC7915" w:rsidR="00F51A1D" w:rsidRPr="00F51A1D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08 сентября 2024 г. по 10 сентября 2024 г. - в размере 15,04% от начальной цены продажи лота;</w:t>
      </w:r>
    </w:p>
    <w:p w14:paraId="45D02C04" w14:textId="5F237999" w:rsidR="00B368B1" w:rsidRDefault="00F51A1D" w:rsidP="00F51A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1A1D">
        <w:rPr>
          <w:color w:val="000000"/>
        </w:rPr>
        <w:t>с 11 сентября 2024 г. по 13 сентября 2024 г. - в размере 5,60%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F5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F51A1D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F5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F5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F5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1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F51A1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</w:t>
      </w:r>
      <w:r w:rsidRPr="00F51A1D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51A1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F51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51A1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1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AB7EADD" w:rsidR="00B368B1" w:rsidRPr="00F51A1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1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24B9C" w:rsidRPr="00824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428032, Чувашская Республика, г. Чебоксары, ул. Ярославская, д. 23, тел. 8-800-505-80-32; у ОТ:</w:t>
      </w:r>
      <w:r w:rsidR="00824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4B9C" w:rsidRPr="00824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7967-246-44-17, эл. почта: yaroslavl@auction-house.ru</w:t>
      </w:r>
      <w:r w:rsidRPr="00F51A1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1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24B9C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51A1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2189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2024-04-19T07:47:00Z</dcterms:created>
  <dcterms:modified xsi:type="dcterms:W3CDTF">2024-04-19T08:00:00Z</dcterms:modified>
</cp:coreProperties>
</file>