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Саидова Милана Занаумаровна (17.05.1981г.р., место рожд: с. Урус-Мартан Урус-Мартановский р-н ЧИАССР, адрес рег: 366502, Чеченская Респ, Урус-Мартановский р-н, Гойты с, Звездная ул, дом № 19, СНИЛС14525878384, ИНН 201365400380, паспорт РФ серия 0420, номер 547258, выдан 01.07.2020, кем выдан ГУ МВД России по Красноярскому краю, код подразделения 240-003),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Чеченской Республики от 31.01.2024г. по делу №А77-1152/2023,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18.09.2024г. по продаже имущества Саидовой Миланы Занаумаровны,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233м², кадастровый номер: 20:11:0401016:480, земельный участок , площадь: 800м², кадастровый номер: 20:11:0401016:479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18.09.2024г. на сайте https://lot-online.ru/, и указана в Протоколе  от 18.09.2024г.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Саидовой Миланы Занаумаровны 40817810150180393719</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Саидова Милана Занаумаровна (17.05.1981г.р., место рожд: с. Урус-Мартан Урус-Мартановский р-н ЧИАССР, адрес рег: 366502, Чеченская Респ, Урус-Мартановский р-н, Гойты с, Звездная ул, дом № 19, СНИЛС14525878384, ИНН 201365400380, паспорт РФ серия 0420, номер 547258, выдан 01.07.2020, кем выдан ГУ МВД России по Красноярскому краю, код подразделения 240-003)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Саидовой Миланы Занаумаровны 40817810150180393719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Саидовой Миланы Занаумаровны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