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2DF7C2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D1D55" w:rsidRPr="007D1D5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D1D55" w:rsidRPr="007D1D5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D1D55" w:rsidRPr="007D1D5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D1D55" w:rsidRPr="007D1D5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D1D55" w:rsidRPr="007D1D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D1D55" w:rsidRPr="007D1D55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торгов), действующее на основании договора с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 (далее – финансовая организация), конкурсным управляющим (ликвидатором) которого на основании решения Арбитражного суда г. Москвы от 24 августа  2017 г. по делу №А40-139272/17-73-133</w:t>
      </w:r>
      <w:proofErr w:type="gramStart"/>
      <w:r w:rsidR="007D1D55" w:rsidRPr="007D1D55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D18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D1854">
        <w:rPr>
          <w:rFonts w:ascii="Times New Roman" w:hAnsi="Times New Roman" w:cs="Times New Roman"/>
          <w:color w:val="000000"/>
          <w:sz w:val="24"/>
          <w:szCs w:val="24"/>
        </w:rPr>
        <w:t>Торгов является следующее имущество:</w:t>
      </w:r>
    </w:p>
    <w:p w14:paraId="1BB0041E" w14:textId="32AAC67A" w:rsidR="00C166F5" w:rsidRPr="00AD1854" w:rsidRDefault="00C166F5" w:rsidP="00C16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85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1DB7F48" w14:textId="4D7E45E9" w:rsidR="00C166F5" w:rsidRDefault="007D1D55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D1854">
        <w:t xml:space="preserve">Лот 1 - </w:t>
      </w:r>
      <w:proofErr w:type="spellStart"/>
      <w:r w:rsidRPr="00AD1854">
        <w:t>Барзукаев</w:t>
      </w:r>
      <w:proofErr w:type="spellEnd"/>
      <w:r w:rsidRPr="00AD1854">
        <w:t xml:space="preserve"> Мусса </w:t>
      </w:r>
      <w:proofErr w:type="spellStart"/>
      <w:r w:rsidRPr="00AD1854">
        <w:t>Абдулович</w:t>
      </w:r>
      <w:proofErr w:type="spellEnd"/>
      <w:r w:rsidRPr="00AD1854">
        <w:t xml:space="preserve">, </w:t>
      </w:r>
      <w:proofErr w:type="spellStart"/>
      <w:r w:rsidRPr="00AD1854">
        <w:t>Дидаев</w:t>
      </w:r>
      <w:proofErr w:type="spellEnd"/>
      <w:r w:rsidRPr="00AD1854">
        <w:t xml:space="preserve"> Исмаил </w:t>
      </w:r>
      <w:proofErr w:type="spellStart"/>
      <w:r w:rsidRPr="00AD1854">
        <w:t>Хусейнович</w:t>
      </w:r>
      <w:proofErr w:type="spellEnd"/>
      <w:r w:rsidRPr="00AD1854">
        <w:t xml:space="preserve">, </w:t>
      </w:r>
      <w:proofErr w:type="spellStart"/>
      <w:r w:rsidRPr="00AD1854">
        <w:t>Докуева</w:t>
      </w:r>
      <w:proofErr w:type="spellEnd"/>
      <w:r w:rsidRPr="00AD1854">
        <w:t xml:space="preserve"> </w:t>
      </w:r>
      <w:proofErr w:type="spellStart"/>
      <w:r w:rsidRPr="00AD1854">
        <w:t>Халимат</w:t>
      </w:r>
      <w:proofErr w:type="spellEnd"/>
      <w:r w:rsidRPr="00AD1854">
        <w:t xml:space="preserve"> </w:t>
      </w:r>
      <w:proofErr w:type="spellStart"/>
      <w:r w:rsidRPr="00AD1854">
        <w:t>Денильбековна</w:t>
      </w:r>
      <w:proofErr w:type="spellEnd"/>
      <w:r w:rsidRPr="00AD1854">
        <w:t xml:space="preserve"> приобретатели имущества залогодателя</w:t>
      </w:r>
      <w:r w:rsidRPr="007D1D55">
        <w:t xml:space="preserve"> исключенного из ЕГРЮЛ ООО «Меридиан», ИНН 7736276258, КД КЛ.207.11289 от 13.01.2017, решение АС г. Москвы от 14.12.2018 по делу А40-207270/17-22-1846, апелляционное определение судебной коллегии по гражданским делам Верховного суда Чеченской Республики от 16.07.2020 по делу 33-229/20 (номер дела в первой инстанции 2-782/19</w:t>
      </w:r>
      <w:proofErr w:type="gramEnd"/>
      <w:r w:rsidRPr="007D1D55">
        <w:t xml:space="preserve">), </w:t>
      </w:r>
      <w:proofErr w:type="gramStart"/>
      <w:r w:rsidRPr="007D1D55">
        <w:t>апелляционное определение судебной коллегии по гражданским делам Верховного суда Чеченской Республики от 24.09.2020 по делу 2-795/2019, определение Шалинского городского суда Чеченской Республики от 09.03.2023 по делу 2-220/2023 (об оставлении искового заявления без рассмотрения), частная жалоба Банка от 02.08.2023 на определение об оставлении искового заявления без рассмотрения, частная жалоба Банка от 19.10.2023 на определение суда об отказе в восстановлении</w:t>
      </w:r>
      <w:proofErr w:type="gramEnd"/>
      <w:r w:rsidRPr="007D1D55">
        <w:t xml:space="preserve"> срока, жалоба Банка от 11.12.2023 на бездействие сотрудников суда (8 539 985,05 руб.)</w:t>
      </w:r>
      <w:r>
        <w:t xml:space="preserve"> </w:t>
      </w:r>
      <w:r w:rsidR="00C366B8">
        <w:t>–</w:t>
      </w:r>
      <w:r>
        <w:t xml:space="preserve"> </w:t>
      </w:r>
      <w:r w:rsidR="00C366B8" w:rsidRPr="00C366B8">
        <w:t>8</w:t>
      </w:r>
      <w:r w:rsidR="00C366B8">
        <w:t xml:space="preserve"> </w:t>
      </w:r>
      <w:r w:rsidR="00C366B8" w:rsidRPr="00C366B8">
        <w:t>539</w:t>
      </w:r>
      <w:r w:rsidR="00C366B8">
        <w:t xml:space="preserve"> </w:t>
      </w:r>
      <w:r w:rsidR="00C366B8" w:rsidRPr="00C366B8">
        <w:t>985,05</w:t>
      </w:r>
      <w:r w:rsidR="00C366B8">
        <w:t xml:space="preserve"> руб.</w:t>
      </w:r>
    </w:p>
    <w:p w14:paraId="15D12F19" w14:textId="24AB46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366B8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E80AF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366B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412F3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366B8">
        <w:rPr>
          <w:rFonts w:ascii="Times New Roman CYR" w:hAnsi="Times New Roman CYR" w:cs="Times New Roman CYR"/>
          <w:color w:val="000000"/>
        </w:rPr>
        <w:t xml:space="preserve"> </w:t>
      </w:r>
      <w:r w:rsidR="00C366B8" w:rsidRPr="00C366B8">
        <w:rPr>
          <w:b/>
        </w:rPr>
        <w:t>12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</w:t>
      </w:r>
      <w:r w:rsidR="00C366B8">
        <w:rPr>
          <w:b/>
        </w:rPr>
        <w:t>24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DF7E9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366B8" w:rsidRPr="00C366B8">
        <w:rPr>
          <w:b/>
        </w:rPr>
        <w:t>12 августа 2024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C366B8" w:rsidRPr="00C366B8">
        <w:rPr>
          <w:b/>
        </w:rPr>
        <w:t>24 сентября 2024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C366B8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C366B8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73CFE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366B8" w:rsidRPr="00AD1854">
        <w:rPr>
          <w:b/>
        </w:rPr>
        <w:t>02 июля</w:t>
      </w:r>
      <w:bookmarkStart w:id="0" w:name="_GoBack"/>
      <w:bookmarkEnd w:id="0"/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C366B8">
        <w:rPr>
          <w:b/>
        </w:rPr>
        <w:t xml:space="preserve">24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366B8" w:rsidRPr="00C366B8">
        <w:rPr>
          <w:b/>
        </w:rPr>
        <w:t>15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C366B8">
        <w:rPr>
          <w:b/>
        </w:rPr>
        <w:t xml:space="preserve">24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 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421360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136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4213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2136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360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421360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36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42136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421360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29A1A15B" w:rsidR="00EA7238" w:rsidRPr="00A115B3" w:rsidRDefault="00A932B3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136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A932B3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32B3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32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32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3868F825" w:rsidR="00EA7238" w:rsidRPr="0042136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</w:t>
      </w:r>
      <w:r w:rsidR="00EA7238" w:rsidRPr="00421360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Торгов.</w:t>
      </w:r>
    </w:p>
    <w:p w14:paraId="576157B5" w14:textId="7DB9C802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3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2136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213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21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21360" w:rsidRPr="0042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09:00 до 18:00, пт. с 9:00 до 16:45 часов по адресу: г. Москва, Павелецкая наб., д. 8, тел. 8-800-505-80-32</w:t>
      </w:r>
      <w:r w:rsidR="001B0E15" w:rsidRPr="0042136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="001B0E15" w:rsidRPr="0042136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1B0E15" w:rsidRPr="00421360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1B0E15"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: </w:t>
      </w:r>
      <w:r w:rsidR="00421360" w:rsidRPr="00421360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4213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1360" w:rsidRPr="00421360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 w:rsidR="00FB70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70A4" w:rsidRPr="00FB70A4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</w:t>
      </w:r>
      <w:r w:rsidR="00FB70A4">
        <w:rPr>
          <w:rFonts w:ascii="Times New Roman" w:hAnsi="Times New Roman" w:cs="Times New Roman"/>
          <w:color w:val="000000"/>
          <w:sz w:val="24"/>
          <w:szCs w:val="24"/>
        </w:rPr>
        <w:t xml:space="preserve">несет </w:t>
      </w:r>
      <w:r w:rsidR="00FB70A4" w:rsidRPr="00FB70A4">
        <w:rPr>
          <w:rFonts w:ascii="Times New Roman" w:hAnsi="Times New Roman" w:cs="Times New Roman"/>
          <w:color w:val="000000"/>
          <w:sz w:val="24"/>
          <w:szCs w:val="24"/>
        </w:rPr>
        <w:t>все риски отказа от предоставленного ему права ознакомления с имуществом до принятия участия в торгах.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  <w15:commentEx w15:paraId="5E9893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  <w16cid:commentId w16cid:paraId="5E98931C" w16cid:durableId="26EACA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B0E15"/>
    <w:rsid w:val="001F039D"/>
    <w:rsid w:val="002A1287"/>
    <w:rsid w:val="002C312D"/>
    <w:rsid w:val="002D68BA"/>
    <w:rsid w:val="002E6A22"/>
    <w:rsid w:val="00365722"/>
    <w:rsid w:val="00411D79"/>
    <w:rsid w:val="00421360"/>
    <w:rsid w:val="00467D6B"/>
    <w:rsid w:val="004914BB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7D1D55"/>
    <w:rsid w:val="00865FD7"/>
    <w:rsid w:val="008A37E3"/>
    <w:rsid w:val="00912D2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32B3"/>
    <w:rsid w:val="00AD1854"/>
    <w:rsid w:val="00B418F1"/>
    <w:rsid w:val="00B83B13"/>
    <w:rsid w:val="00B83E9D"/>
    <w:rsid w:val="00BE0BF1"/>
    <w:rsid w:val="00BE1559"/>
    <w:rsid w:val="00C11EFF"/>
    <w:rsid w:val="00C166F5"/>
    <w:rsid w:val="00C24053"/>
    <w:rsid w:val="00C366B8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1461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26</cp:revision>
  <dcterms:created xsi:type="dcterms:W3CDTF">2021-08-23T09:07:00Z</dcterms:created>
  <dcterms:modified xsi:type="dcterms:W3CDTF">2024-06-25T07:36:00Z</dcterms:modified>
</cp:coreProperties>
</file>