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Богданова Надежда Юрьевна (Салькова Надежда Юрьевна) (17.07.1978г.р., место рожд: с. Большой Рой Уржумский р-н Кировская обл., адрес рег: 612974, Кировская обл, Вятскополянский р-н, Слудка с, Молодежная ул, дом № 4, квартира 9, СНИЛС09881429322, ИНН 430705116981, паспорт РФ серия 3319, номер 632057, выдан 25.05.2020, кем выдан УМВД России по Кировской области, код подразделения 430-007),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07.11.2023г. по делу №А28-16312/2022,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13.08.2024г. по продаже имущества Богдановой Надежды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Богдановой Надежды Юрьевны 40817810350172327726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Богданова Надежда Юрьевна (Салькова Надежда Юрьевна) (17.07.1978г.р., место рожд: с. Большой Рой Уржумский р-н Кировская обл., адрес рег: 612974, Кировская обл, Вятскополянский р-н, Слудка с, Молодежная ул, дом № 4, квартира 9, СНИЛС09881429322, ИНН 430705116981, паспорт РФ серия 3319, номер 632057, выдан 25.05.2020, кем выдан УМВД России по Кировской области, код подразделения 430-007)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Богдановой Надежды Юрьевны 40817810350172327726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Богдановой Надежды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