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945"/>
        <w:gridCol w:w="945"/>
        <w:gridCol w:w="945"/>
        <w:gridCol w:w="1444"/>
        <w:gridCol w:w="184"/>
        <w:gridCol w:w="945"/>
        <w:gridCol w:w="945"/>
        <w:gridCol w:w="945"/>
        <w:gridCol w:w="945"/>
        <w:gridCol w:w="1444"/>
      </w:tblGrid>
      <w:tr w:rsidR="00DA2A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658" w:type="dxa"/>
            <w:gridSpan w:val="11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Мы, нижеподписавшиеся: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Бебнева Людмила Николаевна (Кузьмина Людмила Николаевна) (14.12.1971г.р., место рожд: г.Оренбург Оренбургской области, адрес рег: 461420, Оренбургская обл, Сакмарский р-н, Сакмара с, Рабочая ул, дом № 20, квартира 6, СНИЛС127387319</w:t>
            </w:r>
            <w:r>
              <w:rPr>
                <w:rFonts w:ascii="Times New Roman" w:hAnsi="Times New Roman"/>
                <w:sz w:val="20"/>
                <w:szCs w:val="20"/>
              </w:rPr>
              <w:t>79, ИНН 560911817494, паспорт РФ серия 5316, номер 692191, выдан 14.02.2017, кем выдан МП УФМС РОССИИ ПО ОРЕНБУРГСКОЙ ОБЛ. В САКМАРСКОМ Р-НЕ, код подразделения 560-040), в лице Гражданина РФ Финансового управляющего Кайзер Оксаны Викторовны (ИНН 7448449189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52, СНИЛС 14795875737, рег.номер 22340), действующего на основании решения Арбитражного суда Оренбургской области от 12.10.2023г. по делу №А47-14297/2023, именуемый в дальнейшем «Продавец», с одной стороны, и 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971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 В соответствии с Протоколом №  от 26.09.2024г. по продаже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Бебневой Людмилы Николаевны, размещенным 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</w:t>
            </w:r>
            <w:r>
              <w:rPr>
                <w:rFonts w:ascii="Times New Roman" w:hAnsi="Times New Roman"/>
                <w:sz w:val="20"/>
                <w:szCs w:val="20"/>
              </w:rPr>
              <w:t>их торгах, а именно: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658" w:type="dxa"/>
            <w:gridSpan w:val="11"/>
            <w:shd w:val="clear" w:color="FFFFFF" w:fill="FFFFFF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№1 - </w:t>
            </w:r>
            <w:r w:rsidR="007D3991" w:rsidRPr="007D3991">
              <w:rPr>
                <w:rFonts w:ascii="Times New Roman" w:hAnsi="Times New Roman"/>
                <w:sz w:val="20"/>
                <w:szCs w:val="20"/>
              </w:rPr>
              <w:t>1/12 доля в праве на жилое помещение, площадь: 66,6 кв.м., адрес (местонахождение): Оренбургская область, г Оренбург, ул Салмышская, д 1, кв 14, кадастровый номер: 56:44:0109002:1628</w:t>
            </w:r>
          </w:p>
          <w:p w:rsidR="007D3991" w:rsidRDefault="007D3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собственности зарегистрировано в установленном законом поря</w:t>
            </w:r>
            <w:r>
              <w:rPr>
                <w:rFonts w:ascii="Times New Roman" w:hAnsi="Times New Roman"/>
                <w:sz w:val="20"/>
                <w:szCs w:val="20"/>
              </w:rPr>
              <w:t>дке (далее по тексту - «Имущество»).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971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Продавец обязуется: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2.1.1. Передать Покупателю имущество по </w:t>
            </w:r>
            <w:r>
              <w:rPr>
                <w:rFonts w:ascii="Times New Roman" w:hAnsi="Times New Roman"/>
                <w:sz w:val="20"/>
                <w:szCs w:val="20"/>
              </w:rPr>
              <w:t>акту приема-передачи.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</w:t>
            </w:r>
            <w:r>
              <w:rPr>
                <w:rFonts w:ascii="Times New Roman" w:hAnsi="Times New Roman"/>
                <w:sz w:val="20"/>
                <w:szCs w:val="20"/>
              </w:rPr>
              <w:t>етный счет Продавца денежных средств в соответствии с настоящим договором.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Покупатель обязан: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 Оплатить полную стоимость имущества в соответствии с настоящим договором.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2.2.2. В течение 30 (тридцати) рабочих дней со дня исполнения всех своих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Стоимость имущества составляет: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(Ноль рублей 00 копеек) без учета НДС (подпункт 15 п.2 ст.146 НК), Задаток, оплач</w:t>
            </w:r>
            <w:r>
              <w:rPr>
                <w:rFonts w:ascii="Times New Roman" w:hAnsi="Times New Roman"/>
                <w:sz w:val="20"/>
                <w:szCs w:val="20"/>
              </w:rPr>
              <w:t>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26.09.2024г. на сайте https://lot-on</w:t>
            </w:r>
            <w:r>
              <w:rPr>
                <w:rFonts w:ascii="Times New Roman" w:hAnsi="Times New Roman"/>
                <w:sz w:val="20"/>
                <w:szCs w:val="20"/>
              </w:rPr>
              <w:t>line.ru/, и указана в Протоколе  от 26.09.2024г. является окончательной и изменению не подлежит.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</w:t>
            </w:r>
            <w:r>
              <w:rPr>
                <w:rFonts w:ascii="Times New Roman" w:hAnsi="Times New Roman"/>
                <w:sz w:val="20"/>
                <w:szCs w:val="20"/>
              </w:rPr>
              <w:t>несет Покупатель.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</w:t>
            </w:r>
            <w:r>
              <w:rPr>
                <w:rFonts w:ascii="Times New Roman" w:hAnsi="Times New Roman"/>
                <w:sz w:val="20"/>
                <w:szCs w:val="20"/>
              </w:rPr>
              <w:t>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к/сч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счет Бебневой Людмилы Николаевны 40817810650175249200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ВНИМАНИЕ! В НАЗНАЧЕНИЕ ПЛАТЕЖА ПРИ ПЕРЕВОДЕ ОСНОВНОЙ СУММЫ ПО ТОРГАМ УКАЗЫВАЕТСЯ: "ФИО ДОЛЖНИКА, оплата по дкп от ... г. по имуществу ...»                                     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71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Моментом надлежащей оплаты по настоящему договору считать момент </w:t>
            </w:r>
            <w:r>
              <w:rPr>
                <w:rFonts w:ascii="Times New Roman" w:hAnsi="Times New Roman"/>
                <w:sz w:val="20"/>
                <w:szCs w:val="20"/>
              </w:rPr>
              <w:t>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4.1. Продавец в течение </w:t>
            </w:r>
            <w:r>
              <w:rPr>
                <w:rFonts w:ascii="Times New Roman" w:hAnsi="Times New Roman"/>
                <w:sz w:val="20"/>
                <w:szCs w:val="20"/>
              </w:rPr>
              <w:t>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</w:t>
            </w:r>
            <w:r>
              <w:rPr>
                <w:rFonts w:ascii="Times New Roman" w:hAnsi="Times New Roman"/>
                <w:sz w:val="20"/>
                <w:szCs w:val="20"/>
              </w:rPr>
              <w:t>писания акта приема-передачи является моментом передачи имущества Покупателю.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</w:t>
            </w:r>
            <w:r>
              <w:rPr>
                <w:rFonts w:ascii="Times New Roman" w:hAnsi="Times New Roman"/>
                <w:sz w:val="20"/>
                <w:szCs w:val="20"/>
              </w:rPr>
              <w:t>едачи. Указанные действия осуществляются Продавцом своими силами и за свой счет.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</w:t>
            </w:r>
            <w:r>
              <w:rPr>
                <w:rFonts w:ascii="Times New Roman" w:hAnsi="Times New Roman"/>
                <w:sz w:val="20"/>
                <w:szCs w:val="20"/>
              </w:rPr>
              <w:t>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Право собственности на имущество переходит от Продавца к Покупателю в момент государственной </w:t>
            </w:r>
            <w:r>
              <w:rPr>
                <w:rFonts w:ascii="Times New Roman" w:hAnsi="Times New Roman"/>
                <w:sz w:val="20"/>
                <w:szCs w:val="20"/>
              </w:rPr>
              <w:t>регистрации права собственности.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</w:t>
            </w:r>
            <w:r>
              <w:rPr>
                <w:rFonts w:ascii="Times New Roman" w:hAnsi="Times New Roman"/>
                <w:sz w:val="20"/>
                <w:szCs w:val="20"/>
              </w:rPr>
              <w:t>рожности).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 Сторона, не исполнившая или ненадлежащим образом исполнившая свои обязательства по договору при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</w:t>
            </w:r>
            <w:r>
              <w:rPr>
                <w:rFonts w:ascii="Times New Roman" w:hAnsi="Times New Roman"/>
                <w:sz w:val="20"/>
                <w:szCs w:val="20"/>
              </w:rPr>
              <w:t>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</w:t>
            </w:r>
            <w:r>
              <w:rPr>
                <w:rFonts w:ascii="Times New Roman" w:hAnsi="Times New Roman"/>
                <w:sz w:val="20"/>
                <w:szCs w:val="20"/>
              </w:rPr>
              <w:t>лены Сторонами договора как непреодолимая сила для надлежащего исполнения обязательств.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 Споры, вытекающие из настоящего Договора, подлежат рассмотрению в арбитражном суде в порядке, предусмотренном действующим законодате</w:t>
            </w:r>
            <w:r>
              <w:rPr>
                <w:rFonts w:ascii="Times New Roman" w:hAnsi="Times New Roman"/>
                <w:sz w:val="20"/>
                <w:szCs w:val="20"/>
              </w:rPr>
              <w:t>льством РФ.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8.2. Если покупатель в нарушение договора </w:t>
            </w:r>
            <w:r>
              <w:rPr>
                <w:rFonts w:ascii="Times New Roman" w:hAnsi="Times New Roman"/>
                <w:sz w:val="20"/>
                <w:szCs w:val="20"/>
              </w:rPr>
              <w:t>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8.3. Право на односторонний отказ от договор</w:t>
            </w:r>
            <w:r>
              <w:rPr>
                <w:rFonts w:ascii="Times New Roman" w:hAnsi="Times New Roman"/>
                <w:sz w:val="20"/>
                <w:szCs w:val="20"/>
              </w:rPr>
              <w:t>а (исполнения договора) (статья 310 Гражданского Кодекса Российской Федерации) может быть осуществлено управомоченной стороной путем уведомления другой стороны об отказе от договора (исполнения договора). Договор прекращается с момента получения данного ув</w:t>
            </w:r>
            <w:r>
              <w:rPr>
                <w:rFonts w:ascii="Times New Roman" w:hAnsi="Times New Roman"/>
                <w:sz w:val="20"/>
                <w:szCs w:val="20"/>
              </w:rPr>
              <w:t>едомления, если иное не предусмотрено настоящим Кодексом, другими законами, иными правовыми актами или договором.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одностороннего отказа от договора (исполнения договора) полностью или частично, если такой отказ допускается, договор считается </w:t>
            </w:r>
            <w:r>
              <w:rPr>
                <w:rFonts w:ascii="Times New Roman" w:hAnsi="Times New Roman"/>
                <w:sz w:val="20"/>
                <w:szCs w:val="20"/>
              </w:rPr>
              <w:t>расторгнутым или измененным. (пп. 1, 2 Статья 450.1. Гражданского Кодекса Российской Федерации).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 Настоящий договор вступает в силу с момента его подписания и действует до момента окончания исполнения Сторонами договора св</w:t>
            </w:r>
            <w:r>
              <w:rPr>
                <w:rFonts w:ascii="Times New Roman" w:hAnsi="Times New Roman"/>
                <w:sz w:val="20"/>
                <w:szCs w:val="20"/>
              </w:rPr>
              <w:t>оих обязательств по нему.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 Сторонами договора рассмотрены все документы, подготовленные в связи с продажей имущества.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9.3. Настоящий Договор составлен в 2-х экземплярах, имеющих одинаковую юридическую силу.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9.4. По всем вопросам, не нашедшим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</w:t>
            </w:r>
            <w:r>
              <w:rPr>
                <w:rFonts w:ascii="Times New Roman" w:hAnsi="Times New Roman"/>
                <w:sz w:val="20"/>
                <w:szCs w:val="20"/>
              </w:rPr>
              <w:t>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658" w:type="dxa"/>
            <w:gridSpan w:val="11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408" w:type="dxa"/>
            <w:gridSpan w:val="6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408" w:type="dxa"/>
            <w:gridSpan w:val="6"/>
            <w:shd w:val="clear" w:color="FFFFFF" w:fill="auto"/>
            <w:vAlign w:val="bottom"/>
          </w:tcPr>
          <w:p w:rsidR="00DA2A33" w:rsidRDefault="00110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175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Бебнева Людмила Николаевна (Кузьмина Людмила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Николаевна) (14.12.1971г.р., место рожд: г.Оренбург Оренбургской области, адрес рег: 461420, Оренбургская обл, Сакмарский р-н, Сакмара с, Рабочая ул, дом № 20, квартира 6, СНИЛС12738731979, ИНН 560911817494, паспорт РФ серия 5316, номер 692191, выдан 14.02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.2017, кем выдан МП УФМС РОССИИ ПО ОРЕНБУРГСКОЙ ОБЛ. В САКМАРСКОМ Р-НЕ, код подразделения 560-040)</w:t>
            </w:r>
          </w:p>
        </w:tc>
        <w:tc>
          <w:tcPr>
            <w:tcW w:w="18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shd w:val="clear" w:color="FFFFFF" w:fill="auto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Реквизиты:</w:t>
            </w:r>
          </w:p>
        </w:tc>
        <w:tc>
          <w:tcPr>
            <w:tcW w:w="18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2175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к/сч </w:t>
            </w:r>
            <w:r>
              <w:rPr>
                <w:rFonts w:ascii="Times New Roman" w:hAnsi="Times New Roman"/>
                <w:sz w:val="20"/>
                <w:szCs w:val="20"/>
              </w:rPr>
              <w:t>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счет Бебневой Людмилы Николаевны 40817810650175249200</w:t>
            </w:r>
          </w:p>
        </w:tc>
        <w:tc>
          <w:tcPr>
            <w:tcW w:w="18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71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18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Бебневой Людмилы Николаевны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71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A2A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50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Кайзер Оксана Викторовна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DA2A33" w:rsidRDefault="00DA2A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shd w:val="clear" w:color="FFFFFF" w:fill="auto"/>
            <w:vAlign w:val="bottom"/>
          </w:tcPr>
          <w:p w:rsidR="00DA2A33" w:rsidRDefault="001102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110208" w:rsidRDefault="00110208"/>
    <w:sectPr w:rsidR="001102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A33"/>
    <w:rsid w:val="00110208"/>
    <w:rsid w:val="007D3991"/>
    <w:rsid w:val="00D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3</cp:revision>
  <dcterms:created xsi:type="dcterms:W3CDTF">2024-08-20T04:52:00Z</dcterms:created>
  <dcterms:modified xsi:type="dcterms:W3CDTF">2024-08-20T04:52:00Z</dcterms:modified>
</cp:coreProperties>
</file>