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9620FC" w:rsidRDefault="00B1463E" w:rsidP="00B1463E">
      <w:pPr>
        <w:ind w:firstLine="284"/>
        <w:jc w:val="both"/>
      </w:pPr>
      <w:proofErr w:type="gramStart"/>
      <w:r w:rsidRPr="00B1463E">
        <w:t xml:space="preserve">АО «Российский аукционный дом» сообщает о переносе даты подведения итогов аукциона, назначенного на </w:t>
      </w:r>
      <w:r w:rsidRPr="00EB0D03">
        <w:rPr>
          <w:b/>
        </w:rPr>
        <w:t>0</w:t>
      </w:r>
      <w:r w:rsidR="007046FF">
        <w:rPr>
          <w:b/>
        </w:rPr>
        <w:t>2</w:t>
      </w:r>
      <w:r w:rsidRPr="00B1463E">
        <w:rPr>
          <w:b/>
        </w:rPr>
        <w:t xml:space="preserve"> </w:t>
      </w:r>
      <w:r w:rsidR="007046FF">
        <w:rPr>
          <w:b/>
        </w:rPr>
        <w:t xml:space="preserve">сентября </w:t>
      </w:r>
      <w:r w:rsidRPr="00B1463E">
        <w:rPr>
          <w:b/>
        </w:rPr>
        <w:t>202</w:t>
      </w:r>
      <w:r w:rsidRPr="00EB0D03">
        <w:rPr>
          <w:b/>
        </w:rPr>
        <w:t>4</w:t>
      </w:r>
      <w:r w:rsidRPr="00B1463E">
        <w:t xml:space="preserve"> года по продаже объекта недвижимости, являющегося собственностью ПАО Сбербанк (код лота:</w:t>
      </w:r>
      <w:proofErr w:type="gramEnd"/>
      <w:r w:rsidRPr="00B1463E">
        <w:t xml:space="preserve"> </w:t>
      </w:r>
      <w:proofErr w:type="gramStart"/>
      <w:r w:rsidR="007046FF" w:rsidRPr="007046FF">
        <w:t>РАД-379376</w:t>
      </w:r>
      <w:r w:rsidRPr="00B1463E">
        <w:t>)</w:t>
      </w:r>
      <w:r w:rsidR="002B687F" w:rsidRPr="00B1463E">
        <w:t>:</w:t>
      </w:r>
      <w:r w:rsidR="002B687F" w:rsidRPr="009620FC">
        <w:t xml:space="preserve"> </w:t>
      </w:r>
      <w:r w:rsidR="007046FF">
        <w:t xml:space="preserve"> </w:t>
      </w:r>
      <w:r w:rsidR="002B687F" w:rsidRPr="009620FC">
        <w:t xml:space="preserve"> </w:t>
      </w:r>
      <w:r w:rsidR="009620FC" w:rsidRPr="009620FC">
        <w:t xml:space="preserve"> </w:t>
      </w:r>
      <w:r w:rsidR="0060108B" w:rsidRPr="009620FC">
        <w:t xml:space="preserve"> </w:t>
      </w:r>
      <w:proofErr w:type="gramEnd"/>
    </w:p>
    <w:p w:rsidR="00937740" w:rsidRPr="009620FC" w:rsidRDefault="00937740" w:rsidP="00BE12BF">
      <w:pPr>
        <w:jc w:val="both"/>
      </w:pPr>
    </w:p>
    <w:p w:rsidR="007046FF" w:rsidRDefault="007046FF" w:rsidP="007046FF">
      <w:pPr>
        <w:autoSpaceDE w:val="0"/>
        <w:autoSpaceDN w:val="0"/>
        <w:ind w:firstLine="720"/>
        <w:jc w:val="both"/>
        <w:outlineLvl w:val="0"/>
      </w:pPr>
      <w:r>
        <w:rPr>
          <w:b/>
        </w:rPr>
        <w:t>Лот 1:</w:t>
      </w:r>
      <w:r>
        <w:t xml:space="preserve"> </w:t>
      </w:r>
    </w:p>
    <w:p w:rsidR="007046FF" w:rsidRDefault="007046FF" w:rsidP="007046FF">
      <w:pPr>
        <w:widowControl w:val="0"/>
        <w:ind w:right="-57" w:firstLine="567"/>
        <w:jc w:val="both"/>
        <w:rPr>
          <w:bCs/>
        </w:rPr>
      </w:pPr>
      <w:r>
        <w:t xml:space="preserve">Недвижимое имущество Здание нежилое, расположенное по адресу: Ивановская область, р-н </w:t>
      </w:r>
      <w:proofErr w:type="spellStart"/>
      <w:r>
        <w:t>Лухский</w:t>
      </w:r>
      <w:proofErr w:type="spellEnd"/>
      <w:r>
        <w:t xml:space="preserve">, п. </w:t>
      </w:r>
      <w:proofErr w:type="spellStart"/>
      <w:r>
        <w:t>Лух</w:t>
      </w:r>
      <w:proofErr w:type="spellEnd"/>
      <w:r>
        <w:t xml:space="preserve">, ул. Советская, д. 1, общая площадь 269,2 кв. м., этаж 1, в том числе </w:t>
      </w:r>
      <w:proofErr w:type="gramStart"/>
      <w:r>
        <w:t>подземных</w:t>
      </w:r>
      <w:proofErr w:type="gramEnd"/>
      <w:r>
        <w:t xml:space="preserve"> 0, кадастровый номер Объекта: 37:10:020108:152.</w:t>
      </w:r>
      <w:r>
        <w:rPr>
          <w:bCs/>
        </w:rPr>
        <w:t xml:space="preserve"> </w:t>
      </w:r>
    </w:p>
    <w:p w:rsidR="007046FF" w:rsidRDefault="007046FF" w:rsidP="007046FF">
      <w:pPr>
        <w:ind w:right="-57" w:firstLine="567"/>
        <w:jc w:val="both"/>
        <w:rPr>
          <w:rFonts w:eastAsia="Calibri"/>
        </w:rPr>
      </w:pPr>
      <w:r>
        <w:rPr>
          <w:rFonts w:eastAsia="Calibri"/>
          <w:b/>
        </w:rPr>
        <w:t>Сведения об обременениях (ограничениях) Объекта:</w:t>
      </w:r>
      <w:r>
        <w:rPr>
          <w:rFonts w:eastAsia="Calibri"/>
        </w:rPr>
        <w:t xml:space="preserve"> </w:t>
      </w:r>
    </w:p>
    <w:p w:rsidR="007046FF" w:rsidRDefault="007046FF" w:rsidP="007046FF">
      <w:pPr>
        <w:ind w:right="-57" w:firstLine="567"/>
        <w:jc w:val="both"/>
        <w:rPr>
          <w:rFonts w:eastAsia="Calibri"/>
        </w:rPr>
      </w:pPr>
      <w:r>
        <w:rPr>
          <w:rFonts w:eastAsia="Calibri"/>
        </w:rPr>
        <w:t>-  Объект является объектом культурного наследия местного значения в соответствии с Распоряжением Комитета Ивановской области по государственной охране объектов культурного наследия № 29-О от 26.05.2021 г.</w:t>
      </w:r>
    </w:p>
    <w:p w:rsidR="007046FF" w:rsidRDefault="007046FF" w:rsidP="007046FF">
      <w:pPr>
        <w:widowControl w:val="0"/>
        <w:ind w:right="-57" w:firstLine="567"/>
        <w:jc w:val="both"/>
      </w:pPr>
      <w:r>
        <w:rPr>
          <w:rFonts w:eastAsia="Calibri"/>
        </w:rPr>
        <w:t>- краткосрочный договор аренды №КДА</w:t>
      </w:r>
      <w:proofErr w:type="gramStart"/>
      <w:r>
        <w:rPr>
          <w:rFonts w:eastAsia="Calibri"/>
        </w:rPr>
        <w:t>4</w:t>
      </w:r>
      <w:proofErr w:type="gramEnd"/>
      <w:r>
        <w:rPr>
          <w:rFonts w:eastAsia="Calibri"/>
        </w:rPr>
        <w:t xml:space="preserve">/2023 от 01.06.2023г. с ИП Иванова Е.А. Нежилые помещения (далее – Помещение) общей площадью 96,5 кв. м., расположенные на 1 этаже в здании. </w:t>
      </w:r>
      <w:proofErr w:type="gramStart"/>
      <w:r>
        <w:rPr>
          <w:rFonts w:eastAsia="Calibri"/>
        </w:rPr>
        <w:t xml:space="preserve">Помещение включает выделенные в натуре и фактически передаваемые помещения № 11, 11а, 13, 14, 16, 18, 19, 20, расположенные на 1 этаже, площадью 81 (восемьдесят один целых)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 xml:space="preserve">. и расчетную величину площадью 15,5 (пятнадцать целых пять десятых)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>., образуемую делением общей площади вспомогательных помещений (Мест общего пользования) на общую площадь основных помещений, умноженную на площадь фактически передаваемого Арендатору помещения</w:t>
      </w:r>
      <w:proofErr w:type="gramEnd"/>
      <w:r>
        <w:rPr>
          <w:rFonts w:eastAsia="Calibri"/>
        </w:rPr>
        <w:t xml:space="preserve"> расположенные на 1 этаже здания: срок с 01.05.2024 г. на неопределенный срок.</w:t>
      </w:r>
    </w:p>
    <w:p w:rsidR="007046FF" w:rsidRDefault="007046FF" w:rsidP="007046FF">
      <w:pPr>
        <w:pStyle w:val="a5"/>
        <w:ind w:left="786"/>
        <w:jc w:val="both"/>
        <w:rPr>
          <w:b/>
          <w:lang w:val="ru-RU"/>
        </w:rPr>
      </w:pPr>
      <w:r>
        <w:rPr>
          <w:b/>
          <w:lang w:val="ru-RU"/>
        </w:rPr>
        <w:t>Существенное условие продажи Объекта:</w:t>
      </w:r>
    </w:p>
    <w:p w:rsidR="007046FF" w:rsidRDefault="007046FF" w:rsidP="007046FF">
      <w:pPr>
        <w:ind w:right="-57" w:firstLine="567"/>
        <w:jc w:val="both"/>
      </w:pPr>
      <w:r>
        <w:t xml:space="preserve">- передача Объекта Покупателю осуществляется по Акту приема-передачи после освобождения Продавцом всех помещений Объекта, но не позднее </w:t>
      </w:r>
      <w:r>
        <w:rPr>
          <w:b/>
        </w:rPr>
        <w:t>01.08.2025 г</w:t>
      </w:r>
      <w:r>
        <w:t xml:space="preserve">. О планируемой дате подписания Акта приема-передачи Продавец уведомляет Покупателя не </w:t>
      </w:r>
      <w:proofErr w:type="gramStart"/>
      <w:r>
        <w:t>позднее</w:t>
      </w:r>
      <w:proofErr w:type="gramEnd"/>
      <w:r>
        <w:t xml:space="preserve"> чем за 10 (десять) рабочих дней до даты подписания Акта. 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средств. Оплата Покупателем производится в срок не позднее 5 (пяти) рабочих дней </w:t>
      </w:r>
      <w:proofErr w:type="gramStart"/>
      <w:r>
        <w:t>с даты уведомления</w:t>
      </w:r>
      <w:proofErr w:type="gramEnd"/>
      <w:r>
        <w:t xml:space="preserve"> о намерении подписать Акт приема-передачи Объекта, направленного Продавцом Покупателю, но не позднее 25.07.2025 года.</w:t>
      </w:r>
    </w:p>
    <w:p w:rsidR="007046FF" w:rsidRDefault="007046FF" w:rsidP="007046FF">
      <w:pPr>
        <w:ind w:right="-57" w:firstLine="567"/>
        <w:jc w:val="both"/>
      </w:pPr>
      <w:r>
        <w:t xml:space="preserve">- </w:t>
      </w:r>
      <w:proofErr w:type="gramStart"/>
      <w:r>
        <w:t>к</w:t>
      </w:r>
      <w:proofErr w:type="gramEnd"/>
      <w:r>
        <w:t>онструктивная особенность Объекта - техническое состояние по СП-13-102-2003: фундаменты - «ограниченно работоспособное»/ кирпичные фундаменты и столбы под лаги пола в осях 1-2/В-Д «недопустимое»; стены – «ограниченно работоспособное», перегородки «ограниченно работоспособное», конструкции перекрытий (чердачное и над подвалом) – «ограниченно работоспособное»; лестницы, площадки, перила – «ограниченно работоспособное», полы – «ограниченно работоспособное», кровля - «ограниченно работоспособное», крыша - «недопустимое»</w:t>
      </w:r>
    </w:p>
    <w:p w:rsidR="007046FF" w:rsidRDefault="007046FF" w:rsidP="007046FF">
      <w:pPr>
        <w:widowControl w:val="0"/>
        <w:suppressAutoHyphens/>
        <w:ind w:firstLine="567"/>
        <w:jc w:val="both"/>
      </w:pPr>
      <w:r>
        <w:t xml:space="preserve">- Объект находится на земельном участке общей площадью 688 кв. м. с кадастровым номером 37:10:020108:51. Категория земель: земли населенных пунктов. Разрешенное использование: для размещения банка. Земельный участок используется по Договору аренды земельного участка № 86-06/32 от 25.01.2006 г. заключенному с Администрацией </w:t>
      </w:r>
      <w:proofErr w:type="spellStart"/>
      <w:r>
        <w:t>Лухского</w:t>
      </w:r>
      <w:proofErr w:type="spellEnd"/>
      <w:r>
        <w:t xml:space="preserve"> района; срок с 01.01.2006 г. на неопределенный срок.</w:t>
      </w:r>
    </w:p>
    <w:p w:rsidR="00076295" w:rsidRPr="00076295" w:rsidRDefault="007046FF" w:rsidP="007046FF">
      <w:pPr>
        <w:ind w:right="53"/>
        <w:rPr>
          <w:rFonts w:eastAsia="Calibri"/>
          <w:sz w:val="28"/>
        </w:rPr>
      </w:pPr>
      <w:r>
        <w:t>- 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</w:t>
      </w:r>
      <w:r>
        <w:rPr>
          <w:rFonts w:eastAsia="Calibri"/>
          <w:bCs/>
          <w:color w:val="000000"/>
          <w:sz w:val="23"/>
          <w:szCs w:val="23"/>
        </w:rPr>
        <w:t>.</w:t>
      </w:r>
      <w:r w:rsidR="00076295" w:rsidRPr="00076295">
        <w:t xml:space="preserve"> </w:t>
      </w:r>
    </w:p>
    <w:p w:rsidR="00076295" w:rsidRPr="00076295" w:rsidRDefault="00076295" w:rsidP="00076295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7046FF" w:rsidRDefault="007046FF" w:rsidP="007046FF">
      <w:pPr>
        <w:autoSpaceDE w:val="0"/>
        <w:autoSpaceDN w:val="0"/>
        <w:ind w:firstLine="720"/>
        <w:jc w:val="center"/>
        <w:outlineLvl w:val="0"/>
      </w:pPr>
      <w:r>
        <w:rPr>
          <w:b/>
        </w:rPr>
        <w:t xml:space="preserve">Начальная цена Лота № 1 – 1 150 000 (один миллион сто пятьдесят тысяч рублей) рублей 00 копеек, </w:t>
      </w:r>
      <w:r>
        <w:t xml:space="preserve">(в том числе НДС 20%). </w:t>
      </w:r>
    </w:p>
    <w:p w:rsidR="007046FF" w:rsidRDefault="007046FF" w:rsidP="007046FF">
      <w:pPr>
        <w:autoSpaceDE w:val="0"/>
        <w:autoSpaceDN w:val="0"/>
        <w:ind w:firstLine="720"/>
        <w:jc w:val="center"/>
        <w:outlineLvl w:val="0"/>
        <w:rPr>
          <w:b/>
        </w:rPr>
      </w:pPr>
      <w:r>
        <w:t xml:space="preserve"> </w:t>
      </w:r>
      <w:r>
        <w:rPr>
          <w:b/>
        </w:rPr>
        <w:t xml:space="preserve"> Сумма задатка – 200 000 (двести тысяч) рублей 00 копеек.</w:t>
      </w:r>
    </w:p>
    <w:p w:rsidR="00195942" w:rsidRPr="009620FC" w:rsidRDefault="007046FF" w:rsidP="007046FF">
      <w:pPr>
        <w:autoSpaceDE w:val="0"/>
        <w:autoSpaceDN w:val="0"/>
        <w:ind w:firstLine="720"/>
        <w:jc w:val="center"/>
        <w:outlineLvl w:val="0"/>
      </w:pPr>
      <w:r>
        <w:rPr>
          <w:b/>
        </w:rPr>
        <w:t>Шаг аукциона – 50 000 (пятьдесят тысяч) рублей 00 копеек.</w:t>
      </w:r>
      <w:r w:rsidR="002745FD" w:rsidRPr="002745FD">
        <w:rPr>
          <w:b/>
        </w:rPr>
        <w:t xml:space="preserve">           </w:t>
      </w:r>
      <w:r w:rsidR="00076295" w:rsidRPr="00076295">
        <w:rPr>
          <w:b/>
        </w:rPr>
        <w:t xml:space="preserve">           </w:t>
      </w:r>
    </w:p>
    <w:p w:rsidR="00195942" w:rsidRDefault="00195942" w:rsidP="00195942">
      <w:pPr>
        <w:ind w:right="-57"/>
        <w:rPr>
          <w:b/>
          <w:i/>
        </w:rPr>
      </w:pPr>
    </w:p>
    <w:p w:rsidR="007046FF" w:rsidRDefault="007046FF" w:rsidP="00195942">
      <w:pPr>
        <w:ind w:right="-57"/>
        <w:rPr>
          <w:b/>
          <w:i/>
        </w:rPr>
      </w:pPr>
    </w:p>
    <w:p w:rsidR="007046FF" w:rsidRDefault="007046FF" w:rsidP="00195942">
      <w:pPr>
        <w:ind w:right="-57"/>
        <w:rPr>
          <w:b/>
          <w:i/>
        </w:rPr>
      </w:pPr>
    </w:p>
    <w:p w:rsidR="007046FF" w:rsidRPr="009620FC" w:rsidRDefault="007046FF" w:rsidP="00195942">
      <w:pPr>
        <w:ind w:right="-57"/>
        <w:rPr>
          <w:b/>
          <w:i/>
        </w:rPr>
      </w:pPr>
    </w:p>
    <w:p w:rsidR="00920E4F" w:rsidRPr="009620FC" w:rsidRDefault="00920E4F" w:rsidP="00920E4F">
      <w:pPr>
        <w:pStyle w:val="a3"/>
        <w:widowControl w:val="0"/>
        <w:ind w:left="0" w:right="-1" w:firstLine="720"/>
        <w:rPr>
          <w:b/>
          <w:szCs w:val="24"/>
        </w:rPr>
      </w:pPr>
      <w:r w:rsidRPr="009620FC">
        <w:rPr>
          <w:szCs w:val="24"/>
        </w:rPr>
        <w:lastRenderedPageBreak/>
        <w:t xml:space="preserve">Дата аукциона переносится на </w:t>
      </w:r>
      <w:r w:rsidR="007046FF">
        <w:rPr>
          <w:b/>
          <w:szCs w:val="24"/>
        </w:rPr>
        <w:t>10</w:t>
      </w:r>
      <w:r w:rsidR="00995471" w:rsidRPr="009620FC">
        <w:rPr>
          <w:b/>
          <w:szCs w:val="24"/>
        </w:rPr>
        <w:t xml:space="preserve"> </w:t>
      </w:r>
      <w:r w:rsidR="007046FF">
        <w:rPr>
          <w:b/>
          <w:szCs w:val="24"/>
        </w:rPr>
        <w:t xml:space="preserve">сентября </w:t>
      </w:r>
      <w:r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EB0D03">
        <w:rPr>
          <w:b/>
          <w:szCs w:val="24"/>
        </w:rPr>
        <w:t>4</w:t>
      </w:r>
      <w:r w:rsidRPr="009620FC">
        <w:rPr>
          <w:b/>
          <w:szCs w:val="24"/>
        </w:rPr>
        <w:t xml:space="preserve"> года </w:t>
      </w:r>
      <w:r w:rsidR="00935639" w:rsidRPr="009620FC">
        <w:rPr>
          <w:b/>
          <w:szCs w:val="24"/>
        </w:rPr>
        <w:t xml:space="preserve">на </w:t>
      </w:r>
      <w:r w:rsidR="00E71ACA" w:rsidRPr="009620FC">
        <w:rPr>
          <w:b/>
          <w:szCs w:val="24"/>
        </w:rPr>
        <w:t>10</w:t>
      </w:r>
      <w:r w:rsidRPr="009620FC">
        <w:rPr>
          <w:b/>
          <w:szCs w:val="24"/>
        </w:rPr>
        <w:t>:00.</w:t>
      </w:r>
    </w:p>
    <w:p w:rsidR="00920E4F" w:rsidRPr="009620FC" w:rsidRDefault="00920E4F" w:rsidP="00920E4F">
      <w:pPr>
        <w:ind w:firstLine="720"/>
        <w:jc w:val="both"/>
      </w:pPr>
      <w:r w:rsidRPr="009620FC">
        <w:rPr>
          <w:b/>
        </w:rPr>
        <w:t>Прием заявок</w:t>
      </w:r>
      <w:r w:rsidRPr="009620FC">
        <w:rPr>
          <w:b/>
          <w:lang w:eastAsia="en-US"/>
        </w:rPr>
        <w:t xml:space="preserve"> на участие в аукционе на электронной площадке </w:t>
      </w:r>
      <w:hyperlink r:id="rId6" w:history="1">
        <w:r w:rsidRPr="009620FC">
          <w:rPr>
            <w:rStyle w:val="a4"/>
            <w:b/>
            <w:lang w:eastAsia="en-US"/>
          </w:rPr>
          <w:t>https://bankruptcy.lot-online.ru</w:t>
        </w:r>
      </w:hyperlink>
      <w:r w:rsidRPr="009620FC">
        <w:rPr>
          <w:b/>
          <w:lang w:eastAsia="en-US"/>
        </w:rPr>
        <w:t xml:space="preserve"> осуществляется по </w:t>
      </w:r>
      <w:r w:rsidR="007046FF">
        <w:rPr>
          <w:b/>
          <w:lang w:eastAsia="en-US"/>
        </w:rPr>
        <w:t>08</w:t>
      </w:r>
      <w:r w:rsidR="00D25D4C" w:rsidRPr="009620FC">
        <w:rPr>
          <w:b/>
        </w:rPr>
        <w:t xml:space="preserve"> </w:t>
      </w:r>
      <w:r w:rsidR="007046FF">
        <w:rPr>
          <w:b/>
        </w:rPr>
        <w:t xml:space="preserve">сентября </w:t>
      </w:r>
      <w:r w:rsidRPr="009620FC">
        <w:rPr>
          <w:b/>
        </w:rPr>
        <w:t>20</w:t>
      </w:r>
      <w:r w:rsidR="00820B70" w:rsidRPr="009620FC">
        <w:rPr>
          <w:b/>
        </w:rPr>
        <w:t>2</w:t>
      </w:r>
      <w:r w:rsidR="00EB0D03">
        <w:rPr>
          <w:b/>
        </w:rPr>
        <w:t>4</w:t>
      </w:r>
      <w:r w:rsidRPr="009620FC">
        <w:rPr>
          <w:b/>
          <w:lang w:eastAsia="en-US"/>
        </w:rPr>
        <w:t xml:space="preserve"> года до </w:t>
      </w:r>
      <w:r w:rsidR="00D25D4C" w:rsidRPr="009620FC">
        <w:rPr>
          <w:b/>
          <w:lang w:eastAsia="en-US"/>
        </w:rPr>
        <w:t>23</w:t>
      </w:r>
      <w:r w:rsidRPr="009620FC">
        <w:rPr>
          <w:b/>
          <w:lang w:eastAsia="en-US"/>
        </w:rPr>
        <w:t>:</w:t>
      </w:r>
      <w:r w:rsidR="00820B70" w:rsidRPr="009620FC">
        <w:rPr>
          <w:b/>
          <w:lang w:eastAsia="en-US"/>
        </w:rPr>
        <w:t>59</w:t>
      </w:r>
      <w:r w:rsidRPr="009620FC">
        <w:rPr>
          <w:b/>
        </w:rPr>
        <w:t xml:space="preserve">. </w:t>
      </w:r>
    </w:p>
    <w:p w:rsidR="00920E4F" w:rsidRPr="009620FC" w:rsidRDefault="00920E4F" w:rsidP="00920E4F">
      <w:pPr>
        <w:ind w:firstLine="709"/>
        <w:jc w:val="both"/>
        <w:rPr>
          <w:rFonts w:eastAsia="Calibri"/>
          <w:lang w:eastAsia="en-US"/>
        </w:rPr>
      </w:pPr>
      <w:r w:rsidRPr="009620F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7046FF">
        <w:rPr>
          <w:rFonts w:eastAsia="Calibri"/>
          <w:b/>
          <w:lang w:eastAsia="en-US"/>
        </w:rPr>
        <w:t>08</w:t>
      </w:r>
      <w:r w:rsidR="00CA4EDE" w:rsidRPr="009620FC">
        <w:rPr>
          <w:b/>
        </w:rPr>
        <w:t xml:space="preserve"> </w:t>
      </w:r>
      <w:r w:rsidR="007046FF">
        <w:rPr>
          <w:b/>
        </w:rPr>
        <w:t xml:space="preserve">сентября </w:t>
      </w:r>
      <w:r w:rsidRPr="009620FC">
        <w:rPr>
          <w:b/>
        </w:rPr>
        <w:t>20</w:t>
      </w:r>
      <w:r w:rsidR="00820B70" w:rsidRPr="009620FC">
        <w:rPr>
          <w:b/>
        </w:rPr>
        <w:t>2</w:t>
      </w:r>
      <w:r w:rsidR="00EB0D03">
        <w:rPr>
          <w:b/>
        </w:rPr>
        <w:t>4</w:t>
      </w:r>
      <w:r w:rsidRPr="009620FC">
        <w:rPr>
          <w:b/>
        </w:rPr>
        <w:t xml:space="preserve"> г</w:t>
      </w:r>
      <w:r w:rsidRPr="009620FC">
        <w:rPr>
          <w:rFonts w:eastAsia="Calibri"/>
          <w:b/>
          <w:lang w:eastAsia="en-US"/>
        </w:rPr>
        <w:t>.</w:t>
      </w:r>
    </w:p>
    <w:p w:rsidR="00140D7A" w:rsidRPr="009620FC" w:rsidRDefault="00920E4F" w:rsidP="00483566">
      <w:pPr>
        <w:pStyle w:val="a3"/>
        <w:widowControl w:val="0"/>
        <w:ind w:right="-1"/>
        <w:rPr>
          <w:szCs w:val="24"/>
        </w:rPr>
      </w:pPr>
      <w:r w:rsidRPr="009620FC">
        <w:rPr>
          <w:rFonts w:eastAsia="Calibri"/>
          <w:szCs w:val="24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7046FF">
        <w:rPr>
          <w:b/>
          <w:szCs w:val="24"/>
          <w:lang w:eastAsia="en-US"/>
        </w:rPr>
        <w:t>09</w:t>
      </w:r>
      <w:r w:rsidR="00CA4EDE" w:rsidRPr="009620FC">
        <w:rPr>
          <w:b/>
          <w:szCs w:val="24"/>
        </w:rPr>
        <w:t xml:space="preserve"> </w:t>
      </w:r>
      <w:r w:rsidR="007046FF">
        <w:rPr>
          <w:b/>
          <w:szCs w:val="24"/>
        </w:rPr>
        <w:t xml:space="preserve">сентября </w:t>
      </w:r>
      <w:r w:rsidR="00EE57FD" w:rsidRPr="009620FC">
        <w:rPr>
          <w:b/>
          <w:szCs w:val="24"/>
        </w:rPr>
        <w:t>20</w:t>
      </w:r>
      <w:r w:rsidR="00820B70" w:rsidRPr="009620FC">
        <w:rPr>
          <w:b/>
          <w:szCs w:val="24"/>
        </w:rPr>
        <w:t>2</w:t>
      </w:r>
      <w:r w:rsidR="00131DE9">
        <w:rPr>
          <w:b/>
          <w:szCs w:val="24"/>
        </w:rPr>
        <w:t>4</w:t>
      </w:r>
      <w:r w:rsidR="00EE57FD" w:rsidRPr="009620FC">
        <w:rPr>
          <w:b/>
          <w:szCs w:val="24"/>
        </w:rPr>
        <w:t xml:space="preserve"> </w:t>
      </w:r>
      <w:r w:rsidRPr="009620FC">
        <w:rPr>
          <w:b/>
          <w:szCs w:val="24"/>
        </w:rPr>
        <w:t xml:space="preserve">г. </w:t>
      </w:r>
      <w:r w:rsidRPr="009620FC">
        <w:rPr>
          <w:rFonts w:eastAsia="Calibri"/>
          <w:b/>
          <w:szCs w:val="24"/>
          <w:lang w:eastAsia="en-US"/>
        </w:rPr>
        <w:t>в 1</w:t>
      </w:r>
      <w:r w:rsidR="007A3021" w:rsidRPr="009620FC">
        <w:rPr>
          <w:rFonts w:eastAsia="Calibri"/>
          <w:b/>
          <w:szCs w:val="24"/>
          <w:lang w:eastAsia="en-US"/>
        </w:rPr>
        <w:t>7</w:t>
      </w:r>
      <w:r w:rsidRPr="009620FC">
        <w:rPr>
          <w:rFonts w:eastAsia="Calibri"/>
          <w:b/>
          <w:szCs w:val="24"/>
          <w:lang w:eastAsia="en-US"/>
        </w:rPr>
        <w:t>:00</w:t>
      </w:r>
    </w:p>
    <w:p w:rsidR="00EF6C2C" w:rsidRPr="009620F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9620FC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  <w:r w:rsidRPr="009620FC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9620FC">
        <w:rPr>
          <w:bCs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9620FC">
          <w:rPr>
            <w:rStyle w:val="a4"/>
            <w:bCs/>
          </w:rPr>
          <w:t>www.lot-online.ru</w:t>
        </w:r>
      </w:hyperlink>
      <w:r w:rsidRPr="009620FC">
        <w:rPr>
          <w:bCs/>
        </w:rPr>
        <w:t xml:space="preserve">,   а также на  интернет- сайте АО «Российский аукционный дом» </w:t>
      </w:r>
      <w:hyperlink r:id="rId8" w:history="1">
        <w:r w:rsidRPr="009620FC">
          <w:rPr>
            <w:rStyle w:val="a4"/>
            <w:bCs/>
          </w:rPr>
          <w:t>www.auction-house.ru</w:t>
        </w:r>
      </w:hyperlink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p w:rsidR="00CC6987" w:rsidRPr="009620FC" w:rsidRDefault="00CC6987" w:rsidP="00CC6987">
      <w:pPr>
        <w:pStyle w:val="a3"/>
        <w:widowControl w:val="0"/>
        <w:ind w:left="0" w:right="-1"/>
        <w:rPr>
          <w:szCs w:val="24"/>
        </w:rPr>
      </w:pPr>
      <w:r w:rsidRPr="009620FC">
        <w:rPr>
          <w:szCs w:val="24"/>
        </w:rPr>
        <w:t xml:space="preserve">Основание: Письмо ПАО Сбербанк № </w:t>
      </w:r>
      <w:r w:rsidR="007046FF">
        <w:rPr>
          <w:szCs w:val="24"/>
        </w:rPr>
        <w:t xml:space="preserve">СРБ-8639-01-04-исх/178 </w:t>
      </w:r>
      <w:r w:rsidRPr="009620FC">
        <w:rPr>
          <w:szCs w:val="24"/>
        </w:rPr>
        <w:t xml:space="preserve">от </w:t>
      </w:r>
      <w:r w:rsidR="00131DE9">
        <w:rPr>
          <w:szCs w:val="24"/>
        </w:rPr>
        <w:t>27</w:t>
      </w:r>
      <w:r w:rsidRPr="009620FC">
        <w:rPr>
          <w:szCs w:val="24"/>
        </w:rPr>
        <w:t>.</w:t>
      </w:r>
      <w:r w:rsidR="00131DE9">
        <w:rPr>
          <w:szCs w:val="24"/>
        </w:rPr>
        <w:t>0</w:t>
      </w:r>
      <w:r w:rsidR="007046FF">
        <w:rPr>
          <w:szCs w:val="24"/>
        </w:rPr>
        <w:t>8</w:t>
      </w:r>
      <w:bookmarkStart w:id="0" w:name="_GoBack"/>
      <w:bookmarkEnd w:id="0"/>
      <w:r w:rsidRPr="009620FC">
        <w:rPr>
          <w:szCs w:val="24"/>
        </w:rPr>
        <w:t>.202</w:t>
      </w:r>
      <w:r w:rsidR="00EB0D03">
        <w:rPr>
          <w:szCs w:val="24"/>
        </w:rPr>
        <w:t>4</w:t>
      </w:r>
      <w:r w:rsidRPr="009620FC">
        <w:rPr>
          <w:szCs w:val="24"/>
        </w:rPr>
        <w:t xml:space="preserve"> г. </w:t>
      </w:r>
    </w:p>
    <w:p w:rsidR="00CC6987" w:rsidRPr="009620FC" w:rsidRDefault="00CC6987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</w:rPr>
      </w:pPr>
    </w:p>
    <w:sectPr w:rsidR="00CC6987" w:rsidRPr="009620FC" w:rsidSect="00A461F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076295"/>
    <w:rsid w:val="00125C9D"/>
    <w:rsid w:val="00131DE9"/>
    <w:rsid w:val="00140D7A"/>
    <w:rsid w:val="001438BC"/>
    <w:rsid w:val="001466DC"/>
    <w:rsid w:val="00171CE9"/>
    <w:rsid w:val="00181051"/>
    <w:rsid w:val="0018725F"/>
    <w:rsid w:val="001958B7"/>
    <w:rsid w:val="00195942"/>
    <w:rsid w:val="001C438F"/>
    <w:rsid w:val="001D2BBF"/>
    <w:rsid w:val="001E3F33"/>
    <w:rsid w:val="001E6D42"/>
    <w:rsid w:val="001F2EED"/>
    <w:rsid w:val="002106AB"/>
    <w:rsid w:val="0021566A"/>
    <w:rsid w:val="00270A21"/>
    <w:rsid w:val="002745FD"/>
    <w:rsid w:val="00275B75"/>
    <w:rsid w:val="00297E26"/>
    <w:rsid w:val="002B687F"/>
    <w:rsid w:val="002C16B0"/>
    <w:rsid w:val="002D7027"/>
    <w:rsid w:val="002E63E6"/>
    <w:rsid w:val="002E7DB2"/>
    <w:rsid w:val="00320D48"/>
    <w:rsid w:val="0033226F"/>
    <w:rsid w:val="0034675B"/>
    <w:rsid w:val="00357657"/>
    <w:rsid w:val="003837CE"/>
    <w:rsid w:val="004763A5"/>
    <w:rsid w:val="00483566"/>
    <w:rsid w:val="004936F8"/>
    <w:rsid w:val="004A24DC"/>
    <w:rsid w:val="004E6B33"/>
    <w:rsid w:val="0053745D"/>
    <w:rsid w:val="005A7674"/>
    <w:rsid w:val="0060108B"/>
    <w:rsid w:val="00681534"/>
    <w:rsid w:val="006A1763"/>
    <w:rsid w:val="006B44B9"/>
    <w:rsid w:val="006E2B14"/>
    <w:rsid w:val="006F1BA8"/>
    <w:rsid w:val="007046FF"/>
    <w:rsid w:val="007117B4"/>
    <w:rsid w:val="00727C4F"/>
    <w:rsid w:val="00782737"/>
    <w:rsid w:val="007A3021"/>
    <w:rsid w:val="00820B70"/>
    <w:rsid w:val="008539ED"/>
    <w:rsid w:val="00883BC6"/>
    <w:rsid w:val="008B39A3"/>
    <w:rsid w:val="008D1B43"/>
    <w:rsid w:val="00904F8F"/>
    <w:rsid w:val="009152B3"/>
    <w:rsid w:val="00920E4F"/>
    <w:rsid w:val="009327C0"/>
    <w:rsid w:val="00935639"/>
    <w:rsid w:val="00937740"/>
    <w:rsid w:val="0095788F"/>
    <w:rsid w:val="009620FC"/>
    <w:rsid w:val="00995471"/>
    <w:rsid w:val="009B7775"/>
    <w:rsid w:val="009B7A34"/>
    <w:rsid w:val="009C4501"/>
    <w:rsid w:val="009E41C5"/>
    <w:rsid w:val="00A37F9A"/>
    <w:rsid w:val="00A461FC"/>
    <w:rsid w:val="00AB14A7"/>
    <w:rsid w:val="00AC1F90"/>
    <w:rsid w:val="00AD7928"/>
    <w:rsid w:val="00AF5859"/>
    <w:rsid w:val="00B1463E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CC6987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B0D03"/>
    <w:rsid w:val="00ED04C1"/>
    <w:rsid w:val="00ED5DF0"/>
    <w:rsid w:val="00EE396B"/>
    <w:rsid w:val="00EE57FD"/>
    <w:rsid w:val="00EF6C2C"/>
    <w:rsid w:val="00F85B59"/>
    <w:rsid w:val="00FA7C90"/>
    <w:rsid w:val="00FC3AB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2745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C45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9620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762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2745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ZnMHQY5YzJj0izE/L2XxfuDGF+SoJoe4C4xT43QdX6E=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3WiVKRTh2FWPA0/GQh4WeE3G2Sam2TvXGcMXwKdFvhs=</DigestValue>
    </Reference>
  </SignedInfo>
  <SignatureValue>7mAp8YmhCWLQiC79GJEFSFtJ49+PIHok79wU+3eQ+BJyffr6igOqvBVfmbRASxeb
5V4TO0ykYy4drYjAsBLAZQ==</SignatureValue>
  <KeyInfo>
    <X509Data>
      <X509Certificate>MIIIajCCCBegAwIBAgIRBSWtmQDLsdqkTTBK41fFcPYwCgYIKoUDBwEBAwIwggGE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g9GAIjAeFw0yNDA4MTMwOTE0MzFaFw0yNTA4MTMwOTE5MzFaMIHaMSQwIgYJKoZI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jyDihJYg0KHQpC8xMjQtNDcxNyDQvtGCIDE1LjAxLjIwMjQMT9Ch0LXRgNGC0LjR
hNC40LrQsNGCINGB0L7QvtGC0LLQtdGC0YHRgtCy0LjRjyDihJYg0KHQpC8xMjgt
NDI3MCDQvtGCIDEzLjA3LjIwMjIwIwYFKoUDZG8EGgwYItCa0YDQuNC/0YLQvtCf
0YDQviBDU1AiMHoGA1UdHwRzMHEwNqA0oDKGMGh0dHA6Ly9jZHAuc2tia29udHVy
LnJ1L2NkcC9za2Jrb250dXItcS0yMDI0LmNybDA3oDWgM4YxaHR0cDovL2NkcDIu
c2tia29udHVyLnJ1L2NkcC9za2Jrb250dXItcS0yMDI0LmNybDCCAXcGA1UdIwSC
AW4wggFqgBQ5ih7dsIP7mny4GmOFWPMcwaekZ6GCAUOkggE/MIIBOzEhMB8GCSqG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0YTRgNGLINCg0L7RgdGB0LjQuIILAIhIN+kAAAAACPcwHQYDVR0OBBYEFMKyq63U
yhh5rlbzSiR5RFd9FIAvMAoGCCqFAwcBAQMCA0EAt9z/V7nsaFKYeR52Rcud4rws
U0DF3nK4OXJgCXBvqwEgThxjzdp5oUHzi5DBD6yRqXDucDcDwp/0u0riBaTS0Q==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WZ0UMZRkuwHsAF26ZlAyvPQwoac=</DigestValue>
      </Reference>
      <Reference URI="/word/fontTable.xml?ContentType=application/vnd.openxmlformats-officedocument.wordprocessingml.fontTable+xml">
        <DigestMethod Algorithm="http://www.w3.org/2000/09/xmldsig#sha1"/>
        <DigestValue>Avg7NT9dTpHtYcIYzbV3M1K9eFM=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+fXXsFty+jss9A7awHFLVIFWUe0=</DigestValue>
      </Reference>
      <Reference URI="/word/styles.xml?ContentType=application/vnd.openxmlformats-officedocument.wordprocessingml.styles+xml">
        <DigestMethod Algorithm="http://www.w3.org/2000/09/xmldsig#sha1"/>
        <DigestValue>ZDLDYh6ReBu6lPG+ov9ilzqXQGI=</DigestValue>
      </Reference>
      <Reference URI="/word/stylesWithEffects.xml?ContentType=application/vnd.ms-word.stylesWithEffects+xml">
        <DigestMethod Algorithm="http://www.w3.org/2000/09/xmldsig#sha1"/>
        <DigestValue>XlYwXwnFtOyKQH7Z5U+kv0F5+e8=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tIdg0sCIf+xIvoYcasmpaSAzRg4=</DigestValue>
      </Reference>
    </Manifest>
    <SignatureProperties>
      <SignatureProperty Id="idSignatureTime" Target="#idPackageSignature">
        <mdssi:SignatureTime>
          <mdssi:Format>YYYY-MM-DDThh:mm:ssTZD</mdssi:Format>
          <mdssi:Value>2024-08-28T07:04:29Z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2024-08-28T07:04:29Z</xd:SigningTime>
          <xd:SigningCertificate>
            <xd:Cert>
              <xd:CertDigest>
                <DigestMethod Algorithm="http://www.w3.org/2000/09/xmldsig#sha1"/>
                <DigestValue>gd/PP135FElvGRVbsm/XBH1/jjU=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1751494641076970557870150698049785393398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100</cp:revision>
  <dcterms:created xsi:type="dcterms:W3CDTF">2020-01-28T13:15:00Z</dcterms:created>
  <dcterms:modified xsi:type="dcterms:W3CDTF">2024-08-28T07:00:00Z</dcterms:modified>
</cp:coreProperties>
</file>