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8"/>
        <w:gridCol w:w="945"/>
        <w:gridCol w:w="945"/>
        <w:gridCol w:w="946"/>
        <w:gridCol w:w="946"/>
        <w:gridCol w:w="939"/>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4"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991</Words>
  <Characters>7035</Characters>
  <CharactersWithSpaces>7982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2024-08-28T12:44:24Z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