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7FBDB87C" w:rsidR="00AF4511" w:rsidRPr="00AD2DC0" w:rsidRDefault="00F50EC2" w:rsidP="003C7378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AD2DC0">
        <w:rPr>
          <w:rFonts w:ascii="Times New Roman" w:hAnsi="Times New Roman" w:cs="Times New Roman"/>
          <w:sz w:val="20"/>
          <w:szCs w:val="20"/>
        </w:rPr>
        <w:t>vega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AD2DC0">
        <w:rPr>
          <w:rFonts w:ascii="Times New Roman" w:hAnsi="Times New Roman" w:cs="Times New Roman"/>
          <w:sz w:val="20"/>
          <w:szCs w:val="20"/>
        </w:rPr>
        <w:t>auction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AD2DC0">
        <w:rPr>
          <w:rFonts w:ascii="Times New Roman" w:hAnsi="Times New Roman" w:cs="Times New Roman"/>
          <w:sz w:val="20"/>
          <w:szCs w:val="20"/>
        </w:rPr>
        <w:t>house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D2DC0">
        <w:rPr>
          <w:rFonts w:ascii="Times New Roman" w:hAnsi="Times New Roman" w:cs="Times New Roman"/>
          <w:sz w:val="20"/>
          <w:szCs w:val="20"/>
        </w:rPr>
        <w:t>ru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, далее – </w:t>
      </w:r>
      <w:r w:rsidR="005D32EC">
        <w:rPr>
          <w:rFonts w:ascii="Times New Roman" w:hAnsi="Times New Roman" w:cs="Times New Roman"/>
          <w:sz w:val="20"/>
          <w:szCs w:val="20"/>
          <w:lang w:val="ru-RU"/>
        </w:rPr>
        <w:t>АО «РАД»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, ОТ), действующее на осн. договора поручения с </w:t>
      </w:r>
      <w:r w:rsidR="006E30F4" w:rsidRPr="00AD2DC0">
        <w:rPr>
          <w:rFonts w:ascii="Times New Roman" w:hAnsi="Times New Roman" w:cs="Times New Roman"/>
          <w:b/>
          <w:sz w:val="20"/>
          <w:szCs w:val="20"/>
          <w:lang w:val="ru-RU"/>
        </w:rPr>
        <w:t>ООО «СтройАльянс»</w:t>
      </w:r>
      <w:r w:rsidR="006E30F4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(ИНН 5042106880, далее – Должник),</w:t>
      </w:r>
      <w:r w:rsidR="006E30F4" w:rsidRPr="00AD2DC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в лице конкурсного управляющего Бондарева В.А.</w:t>
      </w:r>
      <w:r w:rsidR="006E30F4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(ИНН 344200592299, далее – КУ), член МСО ПАУ (ИНН 7705494552), действующего на осн. решения АС МО от 21.02.2018 г. по делу №А41-14056/17</w:t>
      </w:r>
      <w:r w:rsidR="00957EC1" w:rsidRPr="00AD2DC0">
        <w:rPr>
          <w:rFonts w:ascii="Times New Roman" w:hAnsi="Times New Roman" w:cs="Times New Roman"/>
          <w:sz w:val="20"/>
          <w:szCs w:val="20"/>
          <w:lang w:val="ru-RU"/>
        </w:rPr>
        <w:t>, сообщает</w:t>
      </w:r>
      <w:r w:rsidR="003C737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AD2DC0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7907FE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907FE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r w:rsidR="006E30F4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«Р</w:t>
      </w:r>
      <w:r w:rsidR="005D32EC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АД</w:t>
      </w:r>
      <w:r w:rsidR="001342BD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hyperlink r:id="rId8" w:history="1"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5E4B93" w:rsidRPr="00AD2DC0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</w:t>
      </w:r>
      <w:r w:rsidR="006E30F4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–</w:t>
      </w:r>
      <w:r w:rsidR="001342BD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ЭП) путем 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7907FE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907FE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7907FE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7907FE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AD2DC0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7907FE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09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7907FE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09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A6882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4,</w:t>
      </w:r>
      <w:r w:rsidR="00957EC1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AD2DC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6E30F4" w:rsidRPr="00AD2DC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Начальная цена (далее – Нач. цена) – 629 520,50 руб.</w:t>
      </w:r>
    </w:p>
    <w:p w14:paraId="3999C5C3" w14:textId="49A98585" w:rsidR="00BF7633" w:rsidRPr="00AD2DC0" w:rsidRDefault="006E30F4" w:rsidP="00BF7633">
      <w:pPr>
        <w:widowControl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сли Торг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и признаны несостоявшимися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, ОТ сообщает 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 проведении </w:t>
      </w:r>
      <w:r w:rsidR="007907FE" w:rsidRPr="00AD2DC0">
        <w:rPr>
          <w:rFonts w:ascii="Times New Roman" w:hAnsi="Times New Roman" w:cs="Times New Roman"/>
          <w:b/>
          <w:sz w:val="20"/>
          <w:szCs w:val="20"/>
          <w:lang w:val="ru-RU"/>
        </w:rPr>
        <w:t>29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A6882" w:rsidRPr="00AD2DC0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>.2024 в 10 час. 00 мин. повторных открытых электронных торгов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) на ЭП 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>путем проведения аукциона, открытого по составу участников с открытой формой подачи предложений о цене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7907FE" w:rsidRPr="00AD2DC0">
        <w:rPr>
          <w:rFonts w:ascii="Times New Roman" w:hAnsi="Times New Roman" w:cs="Times New Roman"/>
          <w:b/>
          <w:sz w:val="20"/>
          <w:szCs w:val="20"/>
          <w:lang w:val="ru-RU"/>
        </w:rPr>
        <w:t>22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7907FE" w:rsidRPr="00AD2DC0">
        <w:rPr>
          <w:rFonts w:ascii="Times New Roman" w:hAnsi="Times New Roman" w:cs="Times New Roman"/>
          <w:b/>
          <w:sz w:val="20"/>
          <w:szCs w:val="20"/>
          <w:lang w:val="ru-RU"/>
        </w:rPr>
        <w:t>09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 xml:space="preserve">.2024 по </w:t>
      </w:r>
      <w:r w:rsidR="007907FE" w:rsidRPr="00AD2DC0">
        <w:rPr>
          <w:rFonts w:ascii="Times New Roman" w:hAnsi="Times New Roman" w:cs="Times New Roman"/>
          <w:b/>
          <w:sz w:val="20"/>
          <w:szCs w:val="20"/>
          <w:lang w:val="ru-RU"/>
        </w:rPr>
        <w:t>27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3A29A2" w:rsidRPr="00AD2DC0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BF7633" w:rsidRPr="00AD2DC0">
        <w:rPr>
          <w:rFonts w:ascii="Times New Roman" w:hAnsi="Times New Roman" w:cs="Times New Roman"/>
          <w:b/>
          <w:sz w:val="20"/>
          <w:szCs w:val="20"/>
          <w:lang w:val="ru-RU"/>
        </w:rPr>
        <w:t>.2024 до 23 час 00 мин.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Определение участников повторных Торгов – </w:t>
      </w:r>
      <w:r w:rsidR="007907FE" w:rsidRPr="00AD2DC0">
        <w:rPr>
          <w:rFonts w:ascii="Times New Roman" w:hAnsi="Times New Roman" w:cs="Times New Roman"/>
          <w:sz w:val="20"/>
          <w:szCs w:val="20"/>
          <w:lang w:val="ru-RU"/>
        </w:rPr>
        <w:t>28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3A29A2" w:rsidRPr="00AD2DC0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.2024, оформляется протоколом об определении участников торгов. </w:t>
      </w:r>
      <w:r w:rsidRPr="00AD2DC0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Нач. цена на повторных Торгах – 566 568,45 руб.</w:t>
      </w:r>
    </w:p>
    <w:p w14:paraId="2D48B7C1" w14:textId="04FE864C" w:rsidR="006E30F4" w:rsidRPr="00AD2DC0" w:rsidRDefault="006E30F4" w:rsidP="006E30F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sz w:val="20"/>
          <w:szCs w:val="20"/>
          <w:lang w:val="ru-RU"/>
        </w:rPr>
        <w:t>Продаже</w:t>
      </w:r>
      <w:r w:rsidR="004F529F">
        <w:rPr>
          <w:rFonts w:ascii="Times New Roman" w:hAnsi="Times New Roman" w:cs="Times New Roman"/>
          <w:sz w:val="20"/>
          <w:szCs w:val="20"/>
          <w:lang w:val="ru-RU"/>
        </w:rPr>
        <w:t xml:space="preserve"> на Торгах, повторных Торгах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подлежит имущество (далее –</w:t>
      </w:r>
      <w:r w:rsidR="004F529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Лот): </w:t>
      </w:r>
    </w:p>
    <w:p w14:paraId="6AAE4941" w14:textId="00BEEC47" w:rsidR="006E30F4" w:rsidRDefault="006E30F4" w:rsidP="0095556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(дебиторская задолженность) в размере 629 520,50 руб. к Шелипановой Натальи Олеговне (ИНН 770372740908) на основании Определения Арбитражного суда города Москвы от 22.03.2024 по делу №А40-35838/23-90-80Ф, от 30.06.2023 по делу №А40-225471/16-177-243 и к ЗАО «Подрезково Технопарк» (ИНН 7743703528) на основании Определения Арбитражного суда города Москвы от 02.11.2018 по делу № А40-225471/16-177-243.</w:t>
      </w:r>
    </w:p>
    <w:p w14:paraId="349B9B2A" w14:textId="323D0F3B" w:rsidR="008241D7" w:rsidRPr="00CE161A" w:rsidRDefault="008241D7" w:rsidP="0022028A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DC0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Ознакомление с </w:t>
      </w:r>
      <w:r w:rsidR="00AD2DC0" w:rsidRPr="00AD2DC0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документами </w:t>
      </w:r>
      <w:r w:rsidR="00955569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в отношении Лотов 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>производится в раб. дни по предв. договоренности с 1</w:t>
      </w:r>
      <w:r w:rsidR="00AD2DC0" w:rsidRPr="00CE161A">
        <w:rPr>
          <w:rFonts w:ascii="Times New Roman" w:hAnsi="Times New Roman" w:cs="Times New Roman"/>
          <w:iCs/>
          <w:sz w:val="20"/>
          <w:szCs w:val="20"/>
          <w:lang w:val="ru-RU"/>
        </w:rPr>
        <w:t>2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>:00 по 15:00</w:t>
      </w:r>
      <w:r w:rsidRPr="00CE161A">
        <w:rPr>
          <w:rFonts w:ascii="Times New Roman" w:hAnsi="Times New Roman" w:cs="Times New Roman"/>
          <w:sz w:val="20"/>
          <w:szCs w:val="20"/>
          <w:lang w:val="ru-RU"/>
        </w:rPr>
        <w:t>, тел.: +79262362820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 (</w:t>
      </w:r>
      <w:r w:rsidR="00AD2DC0" w:rsidRPr="00CE161A">
        <w:rPr>
          <w:rFonts w:ascii="Times New Roman" w:hAnsi="Times New Roman" w:cs="Times New Roman"/>
          <w:iCs/>
          <w:sz w:val="20"/>
          <w:szCs w:val="20"/>
          <w:lang w:val="ru-RU"/>
        </w:rPr>
        <w:t>КУ</w:t>
      </w:r>
      <w:r w:rsidRPr="00CE161A">
        <w:rPr>
          <w:rFonts w:ascii="Times New Roman" w:hAnsi="Times New Roman" w:cs="Times New Roman"/>
          <w:iCs/>
          <w:sz w:val="20"/>
          <w:szCs w:val="20"/>
          <w:lang w:val="ru-RU"/>
        </w:rPr>
        <w:t xml:space="preserve">), а также ОТ: </w:t>
      </w:r>
      <w:r w:rsidR="00CE161A" w:rsidRPr="00CE161A">
        <w:rPr>
          <w:rFonts w:ascii="Times New Roman" w:hAnsi="Times New Roman" w:cs="Times New Roman"/>
          <w:iCs/>
          <w:sz w:val="20"/>
          <w:szCs w:val="20"/>
          <w:lang w:val="ru-RU"/>
        </w:rPr>
        <w:t>тел. 7(921)994-22-59, эл. почта: informspb@auction-house.ru</w:t>
      </w:r>
      <w:r w:rsidRPr="00CE161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2EE58BE2" w14:textId="45A63C68" w:rsidR="0012595D" w:rsidRPr="003C7378" w:rsidRDefault="00957EC1" w:rsidP="003C7378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CE161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FF56CD" w:rsidRPr="00CE161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CE161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CE161A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CE161A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CE161A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E161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CE161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F56CD" w:rsidRPr="00AD2D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Реквизиты для внесения задатка: </w:t>
      </w:r>
      <w:r w:rsidR="00FF56CD" w:rsidRPr="006526AB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val="ru-RU"/>
        </w:rPr>
        <w:t xml:space="preserve">Получатель - ООО «СтройАльянс» (ИНН 5042106880, КПП 504201001): </w:t>
      </w:r>
      <w:r w:rsidR="00FF56CD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банковский счет Должника </w:t>
      </w:r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для </w:t>
      </w:r>
      <w:r w:rsidR="00FF56CD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задатк</w:t>
      </w:r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ов:</w:t>
      </w:r>
      <w:r w:rsidR="00FF56CD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bookmarkStart w:id="0" w:name="_Hlk172644792"/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40702810601850005060 в АО «АЛЬФА-БАНК» (ИНН 7728168971, ОГРН 1027700067328, БИК 044525593, к/с № 30101810200000000593 в ГУ БАНКА РОССИИ ПО ЦФО)</w:t>
      </w:r>
      <w:bookmarkEnd w:id="0"/>
      <w:r w:rsidR="00827F2C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.</w:t>
      </w:r>
      <w:r w:rsidR="00955569" w:rsidRPr="006526AB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AD2DC0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В платежном документе в графе «назначение платежа» должна содержаться информация о № лицевого счета участника, присваиваемого владельцу личного кабинета при аккредитации на электронной торговой площадке: «Лот № ___. Задаток для участия в торгах №___». 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A163C7" w:rsidRPr="006526AB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A163C7" w:rsidRPr="006526AB">
        <w:rPr>
          <w:rFonts w:ascii="Times New Roman" w:hAnsi="Times New Roman" w:cs="Times New Roman"/>
          <w:sz w:val="20"/>
          <w:szCs w:val="20"/>
          <w:lang w:val="ru-RU"/>
        </w:rPr>
        <w:t>Должника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6526AB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6526AB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</w:t>
      </w:r>
      <w:r w:rsidR="00E204DE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не допускается. </w:t>
      </w:r>
      <w:r w:rsidR="003C7378" w:rsidRPr="003C7378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AD2DC0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="003C7378" w:rsidRPr="003C7378">
        <w:rPr>
          <w:rFonts w:ascii="Times New Roman" w:hAnsi="Times New Roman" w:cs="Times New Roman"/>
          <w:sz w:val="20"/>
          <w:szCs w:val="20"/>
          <w:lang w:val="ru-RU"/>
        </w:rPr>
        <w:t>Победитель Торгов, повторных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</w:r>
      <w:r w:rsidR="003C737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AD2DC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AD2DC0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AD2DC0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BF7633" w:rsidRPr="00AD2DC0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827F2C" w:rsidRPr="00AD2DC0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A163C7"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AD2DC0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827F2C" w:rsidRPr="00AD2DC0">
        <w:rPr>
          <w:rFonts w:ascii="Times New Roman" w:hAnsi="Times New Roman" w:cs="Times New Roman"/>
          <w:sz w:val="20"/>
          <w:szCs w:val="20"/>
          <w:lang w:val="ru-RU"/>
        </w:rPr>
        <w:t>40702810601850005060 в АО «АЛЬФА-БАНК» (ИНН 7728168971, ОГРН 1027700067328, БИК 044525593, к/с № 30101810200000000593 в ГУ БАНКА РОССИИ ПО ЦФО)</w:t>
      </w:r>
      <w:r w:rsidR="00FF56CD" w:rsidRPr="00AD2DC0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12595D" w:rsidRPr="003C7378" w:rsidSect="00182684">
      <w:pgSz w:w="11906" w:h="16838"/>
      <w:pgMar w:top="567" w:right="42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36AF"/>
    <w:multiLevelType w:val="hybridMultilevel"/>
    <w:tmpl w:val="A1A6FD5A"/>
    <w:lvl w:ilvl="0" w:tplc="2566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A1B1D"/>
    <w:multiLevelType w:val="hybridMultilevel"/>
    <w:tmpl w:val="F3164C5C"/>
    <w:lvl w:ilvl="0" w:tplc="92DCA2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7228767">
    <w:abstractNumId w:val="1"/>
  </w:num>
  <w:num w:numId="2" w16cid:durableId="1591814854">
    <w:abstractNumId w:val="0"/>
  </w:num>
  <w:num w:numId="3" w16cid:durableId="1861239809">
    <w:abstractNumId w:val="2"/>
  </w:num>
  <w:num w:numId="4" w16cid:durableId="25841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07422"/>
    <w:rsid w:val="0012595D"/>
    <w:rsid w:val="00125D51"/>
    <w:rsid w:val="001342BD"/>
    <w:rsid w:val="00135407"/>
    <w:rsid w:val="00146286"/>
    <w:rsid w:val="00147782"/>
    <w:rsid w:val="001727A3"/>
    <w:rsid w:val="0017511E"/>
    <w:rsid w:val="00182684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73968"/>
    <w:rsid w:val="00275D24"/>
    <w:rsid w:val="00280501"/>
    <w:rsid w:val="002A1222"/>
    <w:rsid w:val="00305A1E"/>
    <w:rsid w:val="00321DFA"/>
    <w:rsid w:val="00336DC2"/>
    <w:rsid w:val="003655EE"/>
    <w:rsid w:val="00375D59"/>
    <w:rsid w:val="00384C43"/>
    <w:rsid w:val="00390A28"/>
    <w:rsid w:val="003958E3"/>
    <w:rsid w:val="003A29A2"/>
    <w:rsid w:val="003C2BD8"/>
    <w:rsid w:val="003C7378"/>
    <w:rsid w:val="003D0088"/>
    <w:rsid w:val="003D071E"/>
    <w:rsid w:val="003D46FA"/>
    <w:rsid w:val="003D774E"/>
    <w:rsid w:val="003F3495"/>
    <w:rsid w:val="00413D03"/>
    <w:rsid w:val="004227A7"/>
    <w:rsid w:val="00431433"/>
    <w:rsid w:val="00444F87"/>
    <w:rsid w:val="00454E9E"/>
    <w:rsid w:val="00460523"/>
    <w:rsid w:val="00487F3A"/>
    <w:rsid w:val="0049335B"/>
    <w:rsid w:val="00493478"/>
    <w:rsid w:val="0049569B"/>
    <w:rsid w:val="004A18D7"/>
    <w:rsid w:val="004A6EE9"/>
    <w:rsid w:val="004C427D"/>
    <w:rsid w:val="004C645B"/>
    <w:rsid w:val="004C7E90"/>
    <w:rsid w:val="004D3058"/>
    <w:rsid w:val="004D4886"/>
    <w:rsid w:val="004F0F59"/>
    <w:rsid w:val="004F529F"/>
    <w:rsid w:val="005041D2"/>
    <w:rsid w:val="00515D05"/>
    <w:rsid w:val="005160D8"/>
    <w:rsid w:val="00556B26"/>
    <w:rsid w:val="0056183E"/>
    <w:rsid w:val="00565CA3"/>
    <w:rsid w:val="00573F80"/>
    <w:rsid w:val="00586008"/>
    <w:rsid w:val="00594348"/>
    <w:rsid w:val="005B1853"/>
    <w:rsid w:val="005B5376"/>
    <w:rsid w:val="005D32EC"/>
    <w:rsid w:val="005E4B93"/>
    <w:rsid w:val="005E55D5"/>
    <w:rsid w:val="005F3E56"/>
    <w:rsid w:val="00616883"/>
    <w:rsid w:val="00622CD7"/>
    <w:rsid w:val="00642A4F"/>
    <w:rsid w:val="006526AB"/>
    <w:rsid w:val="00654E9C"/>
    <w:rsid w:val="00677E82"/>
    <w:rsid w:val="006C50C1"/>
    <w:rsid w:val="006D39B9"/>
    <w:rsid w:val="006E30F4"/>
    <w:rsid w:val="0071333C"/>
    <w:rsid w:val="00733936"/>
    <w:rsid w:val="00741C0B"/>
    <w:rsid w:val="00747530"/>
    <w:rsid w:val="00752C20"/>
    <w:rsid w:val="007907FE"/>
    <w:rsid w:val="007A1C16"/>
    <w:rsid w:val="007A1E86"/>
    <w:rsid w:val="007A6882"/>
    <w:rsid w:val="007C3AA0"/>
    <w:rsid w:val="007D0894"/>
    <w:rsid w:val="007E2039"/>
    <w:rsid w:val="007E4CFD"/>
    <w:rsid w:val="007F2648"/>
    <w:rsid w:val="008241D7"/>
    <w:rsid w:val="00827F2C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5569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D2DC0"/>
    <w:rsid w:val="00AE3E67"/>
    <w:rsid w:val="00AF4511"/>
    <w:rsid w:val="00B15049"/>
    <w:rsid w:val="00B52914"/>
    <w:rsid w:val="00B55CA3"/>
    <w:rsid w:val="00B777F0"/>
    <w:rsid w:val="00B82522"/>
    <w:rsid w:val="00B92854"/>
    <w:rsid w:val="00BA505D"/>
    <w:rsid w:val="00BC1C7B"/>
    <w:rsid w:val="00BC2484"/>
    <w:rsid w:val="00BC62C1"/>
    <w:rsid w:val="00BE53E7"/>
    <w:rsid w:val="00BF24D4"/>
    <w:rsid w:val="00BF7633"/>
    <w:rsid w:val="00C070E8"/>
    <w:rsid w:val="00C15724"/>
    <w:rsid w:val="00CB6895"/>
    <w:rsid w:val="00CC4AFE"/>
    <w:rsid w:val="00CD732D"/>
    <w:rsid w:val="00CE161A"/>
    <w:rsid w:val="00D03490"/>
    <w:rsid w:val="00D243AB"/>
    <w:rsid w:val="00D406A9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D69E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F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Вега Анна Владимировна</cp:lastModifiedBy>
  <cp:revision>24</cp:revision>
  <cp:lastPrinted>2024-07-24T12:53:00Z</cp:lastPrinted>
  <dcterms:created xsi:type="dcterms:W3CDTF">2024-07-03T07:57:00Z</dcterms:created>
  <dcterms:modified xsi:type="dcterms:W3CDTF">2024-07-31T10:50:00Z</dcterms:modified>
</cp:coreProperties>
</file>