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A137D" w14:textId="7EADEDD1" w:rsidR="00390D85" w:rsidRPr="00301744" w:rsidRDefault="00FA4259" w:rsidP="00390D85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301744">
        <w:rPr>
          <w:rFonts w:eastAsia="Times New Roman" w:cs="Times New Roman"/>
          <w:b/>
          <w:kern w:val="0"/>
          <w:lang w:eastAsia="ru-RU" w:bidi="ar-SA"/>
        </w:rPr>
        <w:t>ДОКУМЕНТЫ, НЕОБХ</w:t>
      </w:r>
      <w:r>
        <w:rPr>
          <w:rFonts w:eastAsia="Times New Roman" w:cs="Times New Roman"/>
          <w:b/>
          <w:kern w:val="0"/>
          <w:lang w:eastAsia="ru-RU" w:bidi="ar-SA"/>
        </w:rPr>
        <w:t>ОДИМЫЕ ДЛЯ УЧАСТИЯ В АУКЦИОНЕ</w:t>
      </w:r>
    </w:p>
    <w:p w14:paraId="529A6ED6" w14:textId="77777777" w:rsidR="00390D85" w:rsidRPr="00301744" w:rsidRDefault="00390D85" w:rsidP="00390D85">
      <w:pPr>
        <w:widowControl/>
        <w:suppressAutoHyphens w:val="0"/>
        <w:autoSpaceDE w:val="0"/>
        <w:autoSpaceDN w:val="0"/>
        <w:adjustRightInd w:val="0"/>
        <w:spacing w:line="210" w:lineRule="atLeast"/>
        <w:jc w:val="center"/>
        <w:rPr>
          <w:rFonts w:eastAsia="Times New Roman" w:cs="Times New Roman"/>
          <w:b/>
          <w:bCs/>
          <w:kern w:val="0"/>
          <w:lang w:eastAsia="ru-RU" w:bidi="ar-SA"/>
        </w:rPr>
      </w:pPr>
    </w:p>
    <w:p w14:paraId="71813460" w14:textId="31767396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rPr>
          <w:b/>
        </w:rPr>
        <w:t>1.</w:t>
      </w:r>
      <w:r w:rsidRPr="00A013BA">
        <w:t xml:space="preserve"> Заявка на участие в торгах в соответствии с формой, размещенной на официальном сайте АО «Российский аукционный дом», а также на электронной торговой площадке </w:t>
      </w:r>
      <w:proofErr w:type="spellStart"/>
      <w:r w:rsidRPr="00A013BA">
        <w:t>Lot-online</w:t>
      </w:r>
      <w:proofErr w:type="spellEnd"/>
      <w:r w:rsidRPr="00A013BA">
        <w:t xml:space="preserve"> в разделе «Документы к лоту/торгам». Заявка заполняется в электронном виде и подписывается электронной подписью Претендента (его уполномоченного представителя).</w:t>
      </w:r>
    </w:p>
    <w:p w14:paraId="04C3468F" w14:textId="77777777" w:rsidR="00A013BA" w:rsidRPr="00A013BA" w:rsidRDefault="00A013BA" w:rsidP="00A013BA">
      <w:pPr>
        <w:autoSpaceDE w:val="0"/>
        <w:autoSpaceDN w:val="0"/>
        <w:adjustRightInd w:val="0"/>
        <w:ind w:firstLine="708"/>
        <w:jc w:val="both"/>
      </w:pPr>
      <w:r w:rsidRPr="00A013BA">
        <w:rPr>
          <w:b/>
        </w:rPr>
        <w:t>2.</w:t>
      </w:r>
      <w:r w:rsidRPr="00A013BA">
        <w:t xml:space="preserve"> Договор о задатке по форме, размещенной на электронной торговой площадке </w:t>
      </w:r>
      <w:proofErr w:type="spellStart"/>
      <w:r w:rsidRPr="00A013BA">
        <w:t>Lot-online</w:t>
      </w:r>
      <w:proofErr w:type="spellEnd"/>
      <w:r w:rsidRPr="00A013BA">
        <w:t xml:space="preserve"> в разделе «Документы к лоту». Договор заполняется в электронном виде и подписывается электронной подписью Претендента (его уполномоченного представителя).</w:t>
      </w:r>
      <w:r w:rsidRPr="00A013BA">
        <w:rPr>
          <w:rFonts w:cs="Times New Roman"/>
          <w:color w:val="000000"/>
          <w:kern w:val="2"/>
        </w:rPr>
        <w:t xml:space="preserve"> В случае </w:t>
      </w:r>
      <w:proofErr w:type="spellStart"/>
      <w:r w:rsidRPr="00A013BA">
        <w:rPr>
          <w:rFonts w:cs="Times New Roman"/>
          <w:color w:val="000000"/>
          <w:kern w:val="2"/>
        </w:rPr>
        <w:t>непредоставления</w:t>
      </w:r>
      <w:proofErr w:type="spellEnd"/>
      <w:r w:rsidRPr="00A013BA">
        <w:rPr>
          <w:rFonts w:cs="Times New Roman"/>
          <w:color w:val="000000"/>
          <w:kern w:val="2"/>
        </w:rPr>
        <w:t xml:space="preserve">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3DFAE7E6" w14:textId="6A31D101" w:rsidR="00390D85" w:rsidRPr="00301744" w:rsidRDefault="009C2EED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Calibri" w:cs="Times New Roman"/>
          <w:kern w:val="0"/>
          <w:lang w:eastAsia="en-US" w:bidi="ar-SA"/>
        </w:rPr>
      </w:pPr>
      <w:r w:rsidRPr="00A013BA">
        <w:rPr>
          <w:rFonts w:eastAsia="Calibri" w:cs="Times New Roman"/>
          <w:b/>
          <w:kern w:val="0"/>
          <w:lang w:eastAsia="en-US" w:bidi="ar-SA"/>
        </w:rPr>
        <w:t>3.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="00390D85" w:rsidRPr="00301744">
        <w:rPr>
          <w:rFonts w:eastAsia="Calibri" w:cs="Times New Roman"/>
          <w:kern w:val="0"/>
          <w:lang w:eastAsia="en-US" w:bidi="ar-SA"/>
        </w:rPr>
        <w:t>Платежный документ с отметкой банка об исполнении, подтверждающий внесение претендентом задатка в счет обеспечения оплаты Объект</w:t>
      </w:r>
      <w:r w:rsidR="008322BA">
        <w:rPr>
          <w:rFonts w:eastAsia="Calibri" w:cs="Times New Roman"/>
          <w:kern w:val="0"/>
          <w:lang w:eastAsia="en-US" w:bidi="ar-SA"/>
        </w:rPr>
        <w:t>ов</w:t>
      </w:r>
      <w:r w:rsidR="00390D85" w:rsidRPr="00301744">
        <w:rPr>
          <w:rFonts w:eastAsia="Calibri" w:cs="Times New Roman"/>
          <w:kern w:val="0"/>
          <w:lang w:eastAsia="en-US" w:bidi="ar-SA"/>
        </w:rPr>
        <w:t>.</w:t>
      </w:r>
    </w:p>
    <w:p w14:paraId="3F9ACED9" w14:textId="79EBF3DD" w:rsidR="00390D85" w:rsidRDefault="00FA4259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4</w:t>
      </w:r>
      <w:r w:rsidR="00DF01F1" w:rsidRPr="00A013BA">
        <w:rPr>
          <w:rFonts w:eastAsia="Times New Roman" w:cs="Times New Roman"/>
          <w:b/>
          <w:kern w:val="0"/>
          <w:lang w:eastAsia="ru-RU" w:bidi="ar-SA"/>
        </w:rPr>
        <w:t>.</w:t>
      </w:r>
      <w:r w:rsidR="00DF01F1">
        <w:rPr>
          <w:rFonts w:eastAsia="Times New Roman" w:cs="Times New Roman"/>
          <w:kern w:val="0"/>
          <w:lang w:eastAsia="ru-RU" w:bidi="ar-SA"/>
        </w:rPr>
        <w:t xml:space="preserve"> Если заявка подается представителем Претендента: д</w:t>
      </w:r>
      <w:r w:rsidR="00DF01F1" w:rsidRPr="00301744">
        <w:rPr>
          <w:rFonts w:eastAsia="Times New Roman" w:cs="Times New Roman"/>
          <w:kern w:val="0"/>
          <w:lang w:eastAsia="ru-RU" w:bidi="ar-SA"/>
        </w:rPr>
        <w:t>оверенность, оформленная в соответствии с требованиями законодательства РФ, на лицо, имеющее право д</w:t>
      </w:r>
      <w:r w:rsidR="00DF01F1">
        <w:rPr>
          <w:rFonts w:eastAsia="Times New Roman" w:cs="Times New Roman"/>
          <w:kern w:val="0"/>
          <w:lang w:eastAsia="ru-RU" w:bidi="ar-SA"/>
        </w:rPr>
        <w:t>ействовать от имени Претендента и копия всех страниц паспорта такого представителя</w:t>
      </w:r>
      <w:r w:rsidR="00DF01F1" w:rsidRPr="00301744">
        <w:rPr>
          <w:rFonts w:eastAsia="Times New Roman" w:cs="Times New Roman"/>
          <w:kern w:val="0"/>
          <w:lang w:eastAsia="ru-RU" w:bidi="ar-SA"/>
        </w:rPr>
        <w:t>.</w:t>
      </w:r>
    </w:p>
    <w:p w14:paraId="283D0F6B" w14:textId="77777777" w:rsidR="00A013BA" w:rsidRDefault="00A013BA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</w:p>
    <w:p w14:paraId="53625C05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A013BA">
        <w:rPr>
          <w:rFonts w:eastAsia="Times New Roman" w:cs="Times New Roman"/>
          <w:kern w:val="0"/>
          <w:lang w:eastAsia="ru-RU" w:bidi="ar-SA"/>
        </w:rPr>
        <w:t>Одновременно Претенденты предоставляют подписанные электронной подписью Претендента (его уполномоченного представителя) документы, действительные на день представления:</w:t>
      </w:r>
    </w:p>
    <w:p w14:paraId="23543ADD" w14:textId="7A60A040" w:rsidR="00390D85" w:rsidRDefault="004121D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/>
        </w:rPr>
        <w:t xml:space="preserve">Перечень прилагаемых к заявке дополнительных документов, подаваемых </w:t>
      </w:r>
      <w:r w:rsidRPr="004121D7">
        <w:rPr>
          <w:rFonts w:eastAsia="Times New Roman"/>
          <w:b/>
        </w:rPr>
        <w:t>ю</w:t>
      </w:r>
      <w:r w:rsidR="00390D85" w:rsidRPr="00DF01F1">
        <w:rPr>
          <w:rFonts w:eastAsia="Times New Roman" w:cs="Times New Roman"/>
          <w:b/>
          <w:kern w:val="0"/>
          <w:lang w:eastAsia="ru-RU" w:bidi="ar-SA"/>
        </w:rPr>
        <w:t>ридически</w:t>
      </w:r>
      <w:r>
        <w:rPr>
          <w:rFonts w:eastAsia="Times New Roman" w:cs="Times New Roman"/>
          <w:b/>
          <w:kern w:val="0"/>
          <w:lang w:eastAsia="ru-RU" w:bidi="ar-SA"/>
        </w:rPr>
        <w:t>ми</w:t>
      </w:r>
      <w:r w:rsidR="00390D85" w:rsidRPr="00DF01F1">
        <w:rPr>
          <w:rFonts w:eastAsia="Times New Roman" w:cs="Times New Roman"/>
          <w:b/>
          <w:kern w:val="0"/>
          <w:lang w:eastAsia="ru-RU" w:bidi="ar-SA"/>
        </w:rPr>
        <w:t xml:space="preserve"> лица</w:t>
      </w:r>
      <w:r>
        <w:rPr>
          <w:rFonts w:eastAsia="Times New Roman" w:cs="Times New Roman"/>
          <w:b/>
          <w:kern w:val="0"/>
          <w:lang w:eastAsia="ru-RU" w:bidi="ar-SA"/>
        </w:rPr>
        <w:t>ми</w:t>
      </w:r>
      <w:r w:rsidR="00390D85" w:rsidRPr="00DF01F1">
        <w:rPr>
          <w:rFonts w:eastAsia="Times New Roman" w:cs="Times New Roman"/>
          <w:b/>
          <w:kern w:val="0"/>
          <w:lang w:eastAsia="ru-RU" w:bidi="ar-SA"/>
        </w:rPr>
        <w:t>:</w:t>
      </w:r>
    </w:p>
    <w:p w14:paraId="74295525" w14:textId="37D42985" w:rsidR="006A7A63" w:rsidRDefault="006A7A63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а)  заверенные копии учредительных документов;</w:t>
      </w:r>
    </w:p>
    <w:p w14:paraId="70B46DEA" w14:textId="6149B818" w:rsidR="006A7A63" w:rsidRDefault="006A7A63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б) заверенные копии свидетельств о регистрации юридического лица</w:t>
      </w:r>
      <w:r w:rsidR="00800F60">
        <w:rPr>
          <w:rFonts w:eastAsia="Times New Roman"/>
        </w:rPr>
        <w:t>/листа записи в Едином государственном реестре юридически лиц</w:t>
      </w:r>
      <w:r>
        <w:rPr>
          <w:rFonts w:eastAsia="Times New Roman"/>
        </w:rPr>
        <w:t xml:space="preserve"> и о постановке на учет в налоговом органе;</w:t>
      </w:r>
    </w:p>
    <w:p w14:paraId="54E9A56A" w14:textId="64285652" w:rsidR="006A7A63" w:rsidRDefault="006A7A63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в) заверенные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7EA77623" w14:textId="2136816F" w:rsidR="006A7A63" w:rsidRDefault="00FA4259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г</w:t>
      </w:r>
      <w:r w:rsidR="006A7A63">
        <w:rPr>
          <w:rFonts w:eastAsia="Times New Roman"/>
        </w:rPr>
        <w:t>) письменное решение соответствующего органа управления претендента, разрешающее приобретение имущества, если это требуется в соответствии с учред</w:t>
      </w:r>
      <w:r>
        <w:rPr>
          <w:rFonts w:eastAsia="Times New Roman"/>
        </w:rPr>
        <w:t>ительными документами</w:t>
      </w:r>
      <w:r w:rsidR="006A7A63">
        <w:rPr>
          <w:rFonts w:eastAsia="Times New Roman"/>
        </w:rPr>
        <w:t>;</w:t>
      </w:r>
    </w:p>
    <w:p w14:paraId="27FB2163" w14:textId="3BDAF5BA" w:rsidR="009C2EED" w:rsidRPr="00424723" w:rsidRDefault="00FA4259" w:rsidP="009C2EED">
      <w:pPr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/>
        </w:rPr>
        <w:t>д</w:t>
      </w:r>
      <w:r w:rsidR="009C2EED" w:rsidRPr="00424723">
        <w:rPr>
          <w:rFonts w:eastAsia="Times New Roman"/>
        </w:rPr>
        <w:t xml:space="preserve">) </w:t>
      </w:r>
      <w:r w:rsidR="009C2EED" w:rsidRPr="00424723">
        <w:rPr>
          <w:rFonts w:eastAsia="Times New Roman" w:cs="Times New Roman"/>
          <w:kern w:val="0"/>
          <w:lang w:eastAsia="ru-RU" w:bidi="ar-SA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</w:t>
      </w:r>
      <w:r>
        <w:rPr>
          <w:rFonts w:eastAsia="Times New Roman" w:cs="Times New Roman"/>
          <w:kern w:val="0"/>
          <w:lang w:eastAsia="ru-RU" w:bidi="ar-SA"/>
        </w:rPr>
        <w:t>,</w:t>
      </w:r>
      <w:r w:rsidR="009C2EED" w:rsidRPr="00424723">
        <w:rPr>
          <w:rFonts w:eastAsia="Times New Roman" w:cs="Times New Roman"/>
          <w:kern w:val="0"/>
          <w:lang w:eastAsia="ru-RU" w:bidi="ar-SA"/>
        </w:rPr>
        <w:t xml:space="preserve"> если для участника приобретение имущества или внесение денежных средств в качестве задатка являются крупной сделкой.</w:t>
      </w:r>
    </w:p>
    <w:p w14:paraId="436A7772" w14:textId="3448CBB6" w:rsidR="006A7A63" w:rsidRDefault="00FA4259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е</w:t>
      </w:r>
      <w:r w:rsidR="006A7A63">
        <w:rPr>
          <w:rFonts w:eastAsia="Times New Roman"/>
        </w:rPr>
        <w:t>) письмо с информацией об адресе фактического местонахождения для обмена корреспонденцией.</w:t>
      </w:r>
    </w:p>
    <w:p w14:paraId="387E0A4D" w14:textId="7A3F7035" w:rsidR="006A7A63" w:rsidRPr="00DF01F1" w:rsidRDefault="006A7A63" w:rsidP="006A7A63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ind w:left="709"/>
        <w:jc w:val="both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</w:rPr>
        <w:t xml:space="preserve">Перечень прилагаемых к заявке дополнительных документов, подаваемых </w:t>
      </w:r>
      <w:r w:rsidRPr="00DF01F1">
        <w:rPr>
          <w:rFonts w:eastAsia="Times New Roman"/>
          <w:b/>
        </w:rPr>
        <w:t>физическими лицами:</w:t>
      </w:r>
    </w:p>
    <w:p w14:paraId="565E0D01" w14:textId="18CF948E" w:rsidR="006A7A63" w:rsidRDefault="006A7A63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а)  копия паспорта или копия иного удостоверения личности;</w:t>
      </w:r>
    </w:p>
    <w:p w14:paraId="7125C1D1" w14:textId="77777777" w:rsidR="006A7A63" w:rsidRDefault="006A7A63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б) нотариально удостоверенное согласие супруга на совершение сделки в случаях, предусмотренных законодательством Российской Федерации;</w:t>
      </w:r>
    </w:p>
    <w:p w14:paraId="508962B0" w14:textId="77777777" w:rsidR="006A7A63" w:rsidRDefault="006A7A63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в) письмо с информацией об адресе фактического местонахождения для обмена корреспонденцией.</w:t>
      </w:r>
    </w:p>
    <w:p w14:paraId="419BEC34" w14:textId="5EA472B5" w:rsidR="006A7A63" w:rsidRDefault="006A7A63" w:rsidP="006A7A63">
      <w:pPr>
        <w:ind w:firstLine="709"/>
        <w:jc w:val="both"/>
        <w:rPr>
          <w:rFonts w:eastAsia="Times New Roman"/>
        </w:rPr>
      </w:pPr>
      <w:r w:rsidRPr="00A013BA">
        <w:rPr>
          <w:rFonts w:eastAsia="Times New Roman"/>
          <w:b/>
        </w:rPr>
        <w:t xml:space="preserve">Предприниматели без образования юридического лица (далее – </w:t>
      </w:r>
      <w:r w:rsidR="00424723" w:rsidRPr="00A013BA">
        <w:rPr>
          <w:rFonts w:eastAsia="Times New Roman"/>
          <w:b/>
        </w:rPr>
        <w:t>ИП</w:t>
      </w:r>
      <w:r w:rsidRPr="00A013BA">
        <w:rPr>
          <w:rFonts w:eastAsia="Times New Roman"/>
          <w:b/>
        </w:rPr>
        <w:t xml:space="preserve">) </w:t>
      </w:r>
      <w:r w:rsidRPr="00DF01F1">
        <w:rPr>
          <w:rFonts w:eastAsia="Times New Roman"/>
          <w:b/>
        </w:rPr>
        <w:t>дополнительно</w:t>
      </w:r>
      <w:r>
        <w:rPr>
          <w:rFonts w:eastAsia="Times New Roman"/>
        </w:rPr>
        <w:t xml:space="preserve"> представляют следующие документы:</w:t>
      </w:r>
    </w:p>
    <w:p w14:paraId="15C160CF" w14:textId="5A11BA7C" w:rsidR="006A7A63" w:rsidRDefault="00FA4259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а</w:t>
      </w:r>
      <w:r w:rsidR="006A7A63">
        <w:rPr>
          <w:rFonts w:eastAsia="Times New Roman"/>
        </w:rPr>
        <w:t>) заверенная копия свидетельства о регистрации</w:t>
      </w:r>
      <w:r w:rsidR="008F2980">
        <w:rPr>
          <w:rFonts w:eastAsia="Times New Roman"/>
        </w:rPr>
        <w:t>/листа записи</w:t>
      </w:r>
      <w:r w:rsidR="006A7A63">
        <w:rPr>
          <w:rFonts w:eastAsia="Times New Roman"/>
        </w:rPr>
        <w:t xml:space="preserve"> </w:t>
      </w:r>
      <w:r w:rsidR="009C2EED">
        <w:rPr>
          <w:rFonts w:eastAsia="Times New Roman"/>
        </w:rPr>
        <w:t>ИП</w:t>
      </w:r>
      <w:r w:rsidR="006A7A63">
        <w:rPr>
          <w:rFonts w:eastAsia="Times New Roman"/>
        </w:rPr>
        <w:t>;</w:t>
      </w:r>
    </w:p>
    <w:p w14:paraId="36AB977A" w14:textId="11294550" w:rsidR="006A7A63" w:rsidRDefault="00FA4259" w:rsidP="006A7A6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б</w:t>
      </w:r>
      <w:r w:rsidR="006A7A63">
        <w:rPr>
          <w:rFonts w:eastAsia="Times New Roman"/>
        </w:rPr>
        <w:t xml:space="preserve">) заверенное свидетельство о постановке </w:t>
      </w:r>
      <w:r w:rsidR="009C2EED">
        <w:rPr>
          <w:rFonts w:eastAsia="Times New Roman"/>
        </w:rPr>
        <w:t xml:space="preserve">ИП </w:t>
      </w:r>
      <w:r w:rsidR="006A7A63">
        <w:rPr>
          <w:rFonts w:eastAsia="Times New Roman"/>
        </w:rPr>
        <w:t>на учет в налоговый орган;</w:t>
      </w:r>
    </w:p>
    <w:p w14:paraId="0140BD58" w14:textId="0ADC2DF0" w:rsidR="006A7A63" w:rsidRDefault="00FA4259" w:rsidP="006A7A63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/>
        </w:rPr>
        <w:t>в</w:t>
      </w:r>
      <w:r w:rsidR="006A7A63">
        <w:rPr>
          <w:rFonts w:eastAsia="Times New Roman"/>
        </w:rPr>
        <w:t>) письмо с информацией об адресе фактического местонахождения для обмена корреспонденцией.</w:t>
      </w:r>
    </w:p>
    <w:p w14:paraId="2BAC90B8" w14:textId="77777777" w:rsidR="006A7A63" w:rsidRDefault="006A7A63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</w:p>
    <w:p w14:paraId="07C3A11A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 xml:space="preserve"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Печати и подписи, а также </w:t>
      </w:r>
      <w:r w:rsidRPr="00A013BA">
        <w:lastRenderedPageBreak/>
        <w:t xml:space="preserve">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 w:rsidRPr="00A013BA">
        <w:t>надлежащим образом</w:t>
      </w:r>
      <w:proofErr w:type="gramEnd"/>
      <w:r w:rsidRPr="00A013BA">
        <w:t xml:space="preserve"> заверенный перевод на русский язык (</w:t>
      </w:r>
      <w:proofErr w:type="spellStart"/>
      <w:r w:rsidRPr="00A013BA">
        <w:t>апостиль</w:t>
      </w:r>
      <w:proofErr w:type="spellEnd"/>
      <w:r w:rsidRPr="00A013BA">
        <w:t>).</w:t>
      </w:r>
    </w:p>
    <w:p w14:paraId="77081039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>Документооборот между Претендентами, Участниками торгов, Организатором торгов –оператором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Претендента (его уполномоченного представителя), Участника торгов либо Организатора торгов (далее – электронный документ), за исключением договора купли-продажи Объекта, подлежащего заключению по итогам торгов, который заключается в простой письменной форме.</w:t>
      </w:r>
    </w:p>
    <w:p w14:paraId="0B635A3D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 xml:space="preserve">Допустимые форматы загружаемых файлов: </w:t>
      </w:r>
      <w:proofErr w:type="spellStart"/>
      <w:r w:rsidRPr="00A013BA">
        <w:t>doc</w:t>
      </w:r>
      <w:proofErr w:type="spellEnd"/>
      <w:r w:rsidRPr="00A013BA">
        <w:t xml:space="preserve">, </w:t>
      </w:r>
      <w:proofErr w:type="spellStart"/>
      <w:r w:rsidRPr="00A013BA">
        <w:t>docx</w:t>
      </w:r>
      <w:proofErr w:type="spellEnd"/>
      <w:r w:rsidRPr="00A013BA">
        <w:t xml:space="preserve">, </w:t>
      </w:r>
      <w:proofErr w:type="spellStart"/>
      <w:r w:rsidRPr="00A013BA">
        <w:t>pdf</w:t>
      </w:r>
      <w:proofErr w:type="spellEnd"/>
      <w:r w:rsidRPr="00A013BA">
        <w:t xml:space="preserve">, </w:t>
      </w:r>
      <w:proofErr w:type="spellStart"/>
      <w:r w:rsidRPr="00A013BA">
        <w:t>gif</w:t>
      </w:r>
      <w:proofErr w:type="spellEnd"/>
      <w:r w:rsidRPr="00A013BA">
        <w:t xml:space="preserve">, </w:t>
      </w:r>
      <w:proofErr w:type="spellStart"/>
      <w:r w:rsidRPr="00A013BA">
        <w:t>jpg</w:t>
      </w:r>
      <w:proofErr w:type="spellEnd"/>
      <w:r w:rsidRPr="00A013BA">
        <w:t xml:space="preserve">, </w:t>
      </w:r>
      <w:proofErr w:type="spellStart"/>
      <w:r w:rsidRPr="00A013BA">
        <w:t>jpeg</w:t>
      </w:r>
      <w:proofErr w:type="spellEnd"/>
      <w:r w:rsidRPr="00A013BA">
        <w:t>. Загружаемые файлы подписываются электронной подписью Претендента.</w:t>
      </w:r>
    </w:p>
    <w:p w14:paraId="7D898FA0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</w:t>
      </w:r>
    </w:p>
    <w:p w14:paraId="2157F98B" w14:textId="07FF91D2" w:rsid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6" w:history="1">
        <w:r w:rsidR="00FA4259" w:rsidRPr="00FF2B13">
          <w:rPr>
            <w:rStyle w:val="aa"/>
          </w:rPr>
          <w:t>http://lot-online.ru/static/ecp_list.html</w:t>
        </w:r>
      </w:hyperlink>
      <w:r w:rsidRPr="00A013BA">
        <w:t>.</w:t>
      </w:r>
    </w:p>
    <w:p w14:paraId="33FCD835" w14:textId="77777777" w:rsidR="00FA4259" w:rsidRPr="00A013BA" w:rsidRDefault="00FA4259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</w:p>
    <w:p w14:paraId="470D0C42" w14:textId="77777777" w:rsidR="00A013BA" w:rsidRPr="00A013BA" w:rsidRDefault="00A013BA" w:rsidP="00A013BA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b/>
        </w:rPr>
      </w:pPr>
      <w:r w:rsidRPr="00A013BA">
        <w:rPr>
          <w:b/>
        </w:rPr>
        <w:t>Организатор торгов отказывает Претенденту в допуске к участию если:</w:t>
      </w:r>
    </w:p>
    <w:p w14:paraId="5A9C13BF" w14:textId="6106FBCA" w:rsidR="00A013BA" w:rsidRPr="00A013BA" w:rsidRDefault="00A013BA" w:rsidP="00A013BA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  <w:r w:rsidRPr="00A013BA">
        <w:t>- заявка на участие в торг</w:t>
      </w:r>
      <w:r>
        <w:t>ах</w:t>
      </w:r>
      <w:r w:rsidRPr="00A013BA">
        <w:t xml:space="preserve"> не соответствует требованиям, установленным Регламентом;</w:t>
      </w:r>
    </w:p>
    <w:p w14:paraId="30AE6313" w14:textId="77777777" w:rsidR="00A013BA" w:rsidRPr="00A013BA" w:rsidRDefault="00A013BA" w:rsidP="00A013BA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  <w:r w:rsidRPr="00A013BA">
        <w:t>- представленные Претендентом документы оформлены с нарушением требований законодательства Российской Федерации и условий проведения торгов, опубликованных в настоящем информационном сообщении или сведения, содержащиеся в них, недостоверны;</w:t>
      </w:r>
    </w:p>
    <w:p w14:paraId="2D1B9DD4" w14:textId="77777777" w:rsidR="00A013BA" w:rsidRPr="00A013BA" w:rsidRDefault="00A013BA" w:rsidP="00A013BA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  <w:r w:rsidRPr="00A013BA">
        <w:t>- не подтверждено поступление задатка на один из счетов, указанных в сообщении о проведении торгов в срок, указанный в информационном сообщении.</w:t>
      </w:r>
    </w:p>
    <w:p w14:paraId="1782A443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>Заявки, поступившие после истечения срока приема заявок, указанного в сообщении о проведении торгов, Организатором торгов не принимаются.</w:t>
      </w:r>
    </w:p>
    <w:p w14:paraId="09E45471" w14:textId="08CF157F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>Для участия в торгах претендент может подать только одну заявку</w:t>
      </w:r>
      <w:r w:rsidR="00FA4259">
        <w:t xml:space="preserve"> по каждому лоту</w:t>
      </w:r>
      <w:r w:rsidRPr="00A013BA">
        <w:t>.</w:t>
      </w:r>
    </w:p>
    <w:p w14:paraId="17882C13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5E0F9125" w14:textId="77777777" w:rsidR="00A013BA" w:rsidRPr="00A013BA" w:rsidRDefault="00A013BA" w:rsidP="00A013BA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A013BA"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5C91E5BF" w14:textId="77777777" w:rsidR="00A013BA" w:rsidRPr="00A013BA" w:rsidRDefault="00A013BA" w:rsidP="009C2EED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Calibri" w:cs="Times New Roman"/>
          <w:kern w:val="0"/>
          <w:lang w:eastAsia="en-US" w:bidi="ar-SA"/>
        </w:rPr>
      </w:pPr>
    </w:p>
    <w:p w14:paraId="6427C26D" w14:textId="77777777" w:rsidR="00A013BA" w:rsidRDefault="00A013BA" w:rsidP="009C2EED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Calibri" w:cs="Times New Roman"/>
          <w:kern w:val="0"/>
          <w:lang w:eastAsia="en-US" w:bidi="ar-SA"/>
        </w:rPr>
      </w:pPr>
    </w:p>
    <w:p w14:paraId="12932E4D" w14:textId="77777777" w:rsidR="00B41BA1" w:rsidRDefault="00B41BA1"/>
    <w:sectPr w:rsidR="00B41BA1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0BDE8D" w16cid:durableId="1FBE1314"/>
  <w16cid:commentId w16cid:paraId="6168C71D" w16cid:durableId="1FBE13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70D46"/>
    <w:multiLevelType w:val="multilevel"/>
    <w:tmpl w:val="F89E6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14"/>
    <w:rsid w:val="00012D8A"/>
    <w:rsid w:val="00057062"/>
    <w:rsid w:val="001073A0"/>
    <w:rsid w:val="0014627C"/>
    <w:rsid w:val="00147B1B"/>
    <w:rsid w:val="00177DB9"/>
    <w:rsid w:val="001D744B"/>
    <w:rsid w:val="001F34D6"/>
    <w:rsid w:val="00252A5A"/>
    <w:rsid w:val="0026442B"/>
    <w:rsid w:val="002B4135"/>
    <w:rsid w:val="002C0BE3"/>
    <w:rsid w:val="00320683"/>
    <w:rsid w:val="003241E5"/>
    <w:rsid w:val="00342112"/>
    <w:rsid w:val="00365070"/>
    <w:rsid w:val="00390D85"/>
    <w:rsid w:val="00393F6C"/>
    <w:rsid w:val="003E7071"/>
    <w:rsid w:val="003F0528"/>
    <w:rsid w:val="004121D7"/>
    <w:rsid w:val="00424723"/>
    <w:rsid w:val="00477D24"/>
    <w:rsid w:val="004943D8"/>
    <w:rsid w:val="004B50F1"/>
    <w:rsid w:val="00522A2E"/>
    <w:rsid w:val="00561E75"/>
    <w:rsid w:val="0058267F"/>
    <w:rsid w:val="005F2988"/>
    <w:rsid w:val="00630727"/>
    <w:rsid w:val="00665114"/>
    <w:rsid w:val="006A7A63"/>
    <w:rsid w:val="006B3042"/>
    <w:rsid w:val="007C5DA5"/>
    <w:rsid w:val="00800F60"/>
    <w:rsid w:val="00804465"/>
    <w:rsid w:val="008322BA"/>
    <w:rsid w:val="008829F7"/>
    <w:rsid w:val="0089234F"/>
    <w:rsid w:val="008A226A"/>
    <w:rsid w:val="008F2980"/>
    <w:rsid w:val="00951741"/>
    <w:rsid w:val="009C2EED"/>
    <w:rsid w:val="009E3905"/>
    <w:rsid w:val="00A013BA"/>
    <w:rsid w:val="00B24CDF"/>
    <w:rsid w:val="00B35EE2"/>
    <w:rsid w:val="00B41BA1"/>
    <w:rsid w:val="00B66F96"/>
    <w:rsid w:val="00BC61C3"/>
    <w:rsid w:val="00BE3DBE"/>
    <w:rsid w:val="00C05A69"/>
    <w:rsid w:val="00C32D04"/>
    <w:rsid w:val="00C75B6D"/>
    <w:rsid w:val="00D12FA8"/>
    <w:rsid w:val="00D14C0C"/>
    <w:rsid w:val="00DD1275"/>
    <w:rsid w:val="00DF01F1"/>
    <w:rsid w:val="00E31793"/>
    <w:rsid w:val="00EB7C75"/>
    <w:rsid w:val="00F43BCD"/>
    <w:rsid w:val="00FA4259"/>
    <w:rsid w:val="00FB356E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B3AE42C1-EB84-47ED-BCB7-1E97125B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aa">
    <w:name w:val="Hyperlink"/>
    <w:basedOn w:val="a0"/>
    <w:uiPriority w:val="99"/>
    <w:unhideWhenUsed/>
    <w:rsid w:val="00DF0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static/ecp_list.htm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1BFB-2F91-4E09-804F-9FE9887F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Дробышев Михаил Сергеевич</cp:lastModifiedBy>
  <cp:revision>4</cp:revision>
  <cp:lastPrinted>2016-01-15T10:58:00Z</cp:lastPrinted>
  <dcterms:created xsi:type="dcterms:W3CDTF">2024-09-20T10:01:00Z</dcterms:created>
  <dcterms:modified xsi:type="dcterms:W3CDTF">2024-09-30T09:55:00Z</dcterms:modified>
</cp:coreProperties>
</file>