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45241B9B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 w:rsidR="009C5E98">
        <w:rPr>
          <w:b/>
        </w:rPr>
        <w:t>имущества</w:t>
      </w:r>
      <w:r w:rsidRPr="00CD4F0F">
        <w:rPr>
          <w:b/>
        </w:rPr>
        <w:t>, принадлежащ</w:t>
      </w:r>
      <w:r w:rsidR="009C5E98">
        <w:rPr>
          <w:b/>
        </w:rPr>
        <w:t>его</w:t>
      </w:r>
      <w:r w:rsidRPr="00CD4F0F">
        <w:rPr>
          <w:b/>
        </w:rPr>
        <w:t xml:space="preserve"> на праве собственности ПАО СКБ Приморья «</w:t>
      </w:r>
      <w:proofErr w:type="spellStart"/>
      <w:r w:rsidRPr="00CD4F0F">
        <w:rPr>
          <w:b/>
        </w:rPr>
        <w:t>Примсоцбанк</w:t>
      </w:r>
      <w:proofErr w:type="spellEnd"/>
      <w:r w:rsidRPr="00CD4F0F">
        <w:rPr>
          <w:b/>
        </w:rPr>
        <w:t>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2E4C954D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C76E49">
        <w:rPr>
          <w:b/>
          <w:color w:val="0070C0"/>
        </w:rPr>
        <w:t>2</w:t>
      </w:r>
      <w:r w:rsidR="00C726F7">
        <w:rPr>
          <w:b/>
          <w:color w:val="0070C0"/>
        </w:rPr>
        <w:t>5</w:t>
      </w:r>
      <w:r w:rsidR="00BA7329">
        <w:rPr>
          <w:b/>
          <w:color w:val="0070C0"/>
        </w:rPr>
        <w:t xml:space="preserve"> ноября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D300AD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BA7329">
        <w:rPr>
          <w:b/>
          <w:color w:val="0070C0"/>
        </w:rPr>
        <w:t>09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5722205E" w14:textId="237546E3" w:rsidR="00D300AD" w:rsidRDefault="003313B7">
      <w:pPr>
        <w:jc w:val="center"/>
        <w:rPr>
          <w:b/>
          <w:bCs/>
        </w:rPr>
      </w:pPr>
      <w:r>
        <w:rPr>
          <w:b/>
        </w:rPr>
        <w:t xml:space="preserve">Прием заявок с </w:t>
      </w:r>
      <w:r w:rsidR="00C726F7">
        <w:rPr>
          <w:b/>
          <w:bCs/>
          <w:color w:val="0070C0"/>
        </w:rPr>
        <w:t>7</w:t>
      </w:r>
      <w:r w:rsidR="00834F25">
        <w:rPr>
          <w:b/>
          <w:bCs/>
          <w:color w:val="0070C0"/>
        </w:rPr>
        <w:t xml:space="preserve"> </w:t>
      </w:r>
      <w:r w:rsidR="006C75DE">
        <w:rPr>
          <w:b/>
          <w:bCs/>
          <w:color w:val="0070C0"/>
        </w:rPr>
        <w:t xml:space="preserve">октября </w:t>
      </w:r>
      <w:r w:rsidR="00834F25">
        <w:rPr>
          <w:b/>
          <w:bCs/>
          <w:color w:val="0070C0"/>
        </w:rPr>
        <w:t>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</w:t>
      </w:r>
      <w:r w:rsidR="00D300AD" w:rsidRPr="00DC4BDA">
        <w:rPr>
          <w:b/>
          <w:bCs/>
          <w:color w:val="0070C0"/>
        </w:rPr>
        <w:t>0</w:t>
      </w:r>
      <w:r w:rsidR="005D223E">
        <w:rPr>
          <w:b/>
          <w:bCs/>
          <w:color w:val="0070C0"/>
        </w:rPr>
        <w:t>9</w:t>
      </w:r>
      <w:r w:rsidR="00D300AD" w:rsidRPr="00DC4BDA">
        <w:rPr>
          <w:b/>
          <w:bCs/>
          <w:color w:val="0070C0"/>
        </w:rPr>
        <w:t xml:space="preserve">:00 </w:t>
      </w:r>
      <w:r w:rsidR="00D300AD" w:rsidRPr="00DC4BDA">
        <w:rPr>
          <w:b/>
          <w:bCs/>
        </w:rPr>
        <w:t xml:space="preserve">по </w:t>
      </w:r>
      <w:r w:rsidR="00C726F7">
        <w:rPr>
          <w:b/>
          <w:bCs/>
          <w:color w:val="0070C0"/>
        </w:rPr>
        <w:t xml:space="preserve">21 </w:t>
      </w:r>
      <w:r w:rsidR="006C75DE">
        <w:rPr>
          <w:b/>
          <w:bCs/>
          <w:color w:val="0070C0"/>
        </w:rPr>
        <w:t>ноября</w:t>
      </w:r>
      <w:r w:rsidR="00D300AD">
        <w:rPr>
          <w:b/>
          <w:bCs/>
          <w:color w:val="0070C0"/>
        </w:rPr>
        <w:t xml:space="preserve"> 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до </w:t>
      </w:r>
      <w:r w:rsidR="006C75DE">
        <w:rPr>
          <w:b/>
          <w:bCs/>
          <w:color w:val="0070C0"/>
        </w:rPr>
        <w:t>23</w:t>
      </w:r>
      <w:r w:rsidR="00D300AD" w:rsidRPr="00DC4BDA">
        <w:rPr>
          <w:b/>
          <w:bCs/>
          <w:color w:val="0070C0"/>
        </w:rPr>
        <w:t>:</w:t>
      </w:r>
      <w:r w:rsidR="006C75DE">
        <w:rPr>
          <w:b/>
          <w:bCs/>
          <w:color w:val="0070C0"/>
        </w:rPr>
        <w:t>59</w:t>
      </w:r>
      <w:r w:rsidR="00D300AD" w:rsidRPr="00DC4BDA">
        <w:rPr>
          <w:b/>
          <w:bCs/>
        </w:rPr>
        <w:t>.</w:t>
      </w:r>
    </w:p>
    <w:p w14:paraId="00000008" w14:textId="1F2CBCBB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6C75DE">
        <w:rPr>
          <w:b/>
          <w:color w:val="0070C0"/>
        </w:rPr>
        <w:t>23:59</w:t>
      </w:r>
      <w:r w:rsidRPr="00996E61">
        <w:rPr>
          <w:b/>
          <w:color w:val="0070C0"/>
        </w:rPr>
        <w:t xml:space="preserve"> </w:t>
      </w:r>
      <w:r w:rsidR="00C726F7">
        <w:rPr>
          <w:b/>
          <w:bCs/>
          <w:color w:val="0070C0"/>
        </w:rPr>
        <w:t>21</w:t>
      </w:r>
      <w:r w:rsidR="006C75DE">
        <w:rPr>
          <w:b/>
          <w:bCs/>
          <w:color w:val="0070C0"/>
        </w:rPr>
        <w:t xml:space="preserve"> ноября</w:t>
      </w:r>
      <w:r w:rsidR="00C76E49">
        <w:rPr>
          <w:b/>
          <w:bCs/>
          <w:color w:val="0070C0"/>
        </w:rPr>
        <w:t xml:space="preserve"> 2024</w:t>
      </w:r>
      <w:r w:rsidR="00C76E49" w:rsidRPr="00DC4BDA">
        <w:rPr>
          <w:b/>
          <w:bCs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64521A39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C726F7">
        <w:rPr>
          <w:b/>
          <w:color w:val="0070C0"/>
        </w:rPr>
        <w:t>22</w:t>
      </w:r>
      <w:r w:rsidR="00446321">
        <w:rPr>
          <w:b/>
          <w:color w:val="0070C0"/>
        </w:rPr>
        <w:t xml:space="preserve"> </w:t>
      </w:r>
      <w:r w:rsidR="006C75DE">
        <w:rPr>
          <w:b/>
          <w:color w:val="0070C0"/>
        </w:rPr>
        <w:t>ноября</w:t>
      </w:r>
      <w:r w:rsidR="00D300AD">
        <w:rPr>
          <w:b/>
          <w:color w:val="0070C0"/>
        </w:rPr>
        <w:t xml:space="preserve"> </w:t>
      </w:r>
      <w:r w:rsidR="00AA70CC" w:rsidRPr="008862B6">
        <w:rPr>
          <w:b/>
          <w:color w:val="0070C0"/>
        </w:rPr>
        <w:t>202</w:t>
      </w:r>
      <w:r w:rsidR="00856ECB" w:rsidRPr="00697B05">
        <w:rPr>
          <w:b/>
          <w:color w:val="0070C0"/>
        </w:rPr>
        <w:t>4</w:t>
      </w:r>
      <w:r w:rsidR="00AA70CC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9F07E74" w14:textId="5CE3D2F5" w:rsidR="00C726F7" w:rsidRPr="00C726F7" w:rsidRDefault="00C726F7" w:rsidP="00C726F7">
      <w:pPr>
        <w:ind w:firstLine="720"/>
        <w:jc w:val="both"/>
      </w:pPr>
      <w:r w:rsidRPr="00C726F7">
        <w:t xml:space="preserve">Ознакомление с предметом торгов осуществляется в рабочие дни по предварительной записи по тел: </w:t>
      </w:r>
      <w:r w:rsidRPr="00C76E49">
        <w:t>7-967-267-79-94, 8 800 777 57 57,</w:t>
      </w:r>
      <w:r>
        <w:t xml:space="preserve"> </w:t>
      </w:r>
      <w:r w:rsidRPr="00C76E49">
        <w:t>Вострецова Оксана</w:t>
      </w:r>
      <w:r>
        <w:t>,</w:t>
      </w:r>
      <w:r w:rsidRPr="00C76E49">
        <w:t xml:space="preserve"> эл. адрес: </w:t>
      </w:r>
      <w:hyperlink r:id="rId9" w:history="1">
        <w:r w:rsidRPr="00405601">
          <w:rPr>
            <w:rStyle w:val="af2"/>
          </w:rPr>
          <w:t>irkutsk@auction-house.ru</w:t>
        </w:r>
      </w:hyperlink>
      <w:r>
        <w:t xml:space="preserve">; </w:t>
      </w:r>
    </w:p>
    <w:p w14:paraId="6A2FE667" w14:textId="545D1047" w:rsidR="00C726F7" w:rsidRPr="00C726F7" w:rsidRDefault="00C726F7" w:rsidP="00C726F7">
      <w:pPr>
        <w:ind w:firstLine="720"/>
        <w:jc w:val="both"/>
      </w:pPr>
      <w:r w:rsidRPr="00C726F7">
        <w:t>Имущество находится по адресу</w:t>
      </w:r>
      <w:r>
        <w:t>:</w:t>
      </w:r>
      <w:r w:rsidRPr="004221E2">
        <w:t xml:space="preserve"> г. Иркутск, ул. Горная, 24</w:t>
      </w:r>
      <w:r>
        <w:t>,</w:t>
      </w:r>
      <w:r w:rsidRPr="00C726F7">
        <w:t xml:space="preserve"> контакт для ознакомления с имуществом:</w:t>
      </w:r>
      <w:r w:rsidR="00BA7329">
        <w:t xml:space="preserve"> </w:t>
      </w:r>
      <w:r w:rsidR="00BA7329" w:rsidRPr="00BA7329">
        <w:t>(3952) 500-355 (вн.7589)- Михаил Алексеевич</w:t>
      </w:r>
      <w:r w:rsidR="00BA7329">
        <w:t>.</w:t>
      </w:r>
      <w:r w:rsidRPr="00C726F7">
        <w:t xml:space="preserve">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</w:p>
    <w:p w14:paraId="7BFDBA4C" w14:textId="77777777" w:rsidR="00C726F7" w:rsidRDefault="00C726F7">
      <w:pPr>
        <w:ind w:firstLine="720"/>
        <w:jc w:val="both"/>
      </w:pPr>
    </w:p>
    <w:p w14:paraId="6BB0099A" w14:textId="77777777" w:rsidR="00C76E49" w:rsidRPr="00C76E49" w:rsidRDefault="00C76E49">
      <w:pPr>
        <w:ind w:firstLine="720"/>
        <w:jc w:val="both"/>
      </w:pPr>
      <w:bookmarkStart w:id="0" w:name="_heading=h.gjdgxs" w:colFirst="0" w:colLast="0"/>
      <w:bookmarkEnd w:id="0"/>
    </w:p>
    <w:p w14:paraId="594C0607" w14:textId="77777777" w:rsidR="00D300AD" w:rsidRPr="003412DB" w:rsidRDefault="00D300AD" w:rsidP="00D300AD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№1:</w:t>
      </w:r>
    </w:p>
    <w:p w14:paraId="482FAF81" w14:textId="0157F1E0" w:rsidR="004221E2" w:rsidRDefault="004221E2" w:rsidP="00D300AD">
      <w:pPr>
        <w:ind w:right="-57" w:firstLine="540"/>
        <w:jc w:val="both"/>
      </w:pPr>
      <w:r w:rsidRPr="004221E2">
        <w:t xml:space="preserve">Автомобиль </w:t>
      </w:r>
      <w:r w:rsidRPr="004221E2">
        <w:rPr>
          <w:b/>
          <w:bCs/>
        </w:rPr>
        <w:t xml:space="preserve">TOYOTA AURIS, </w:t>
      </w:r>
      <w:r w:rsidRPr="004221E2">
        <w:t>2009 г</w:t>
      </w:r>
      <w:r w:rsidR="003B7FF2">
        <w:t xml:space="preserve">ода </w:t>
      </w:r>
      <w:r w:rsidRPr="004221E2">
        <w:t>в</w:t>
      </w:r>
      <w:r w:rsidR="003B7FF2">
        <w:t>ыпуска</w:t>
      </w:r>
      <w:r w:rsidRPr="004221E2">
        <w:t>, г/н А420ЕХ138, VIN NMTKE56EX0R047543, тип кузова: легковой комби (хэтчбек), цвет кузова: серый, мощность двигателя: 132,0 л.с., объем двигателя: 1598 куб. см.</w:t>
      </w:r>
      <w:r>
        <w:t xml:space="preserve"> ПТС в наличии, ключ отсутствует. </w:t>
      </w:r>
    </w:p>
    <w:p w14:paraId="67BE35B0" w14:textId="77777777" w:rsidR="004221E2" w:rsidRDefault="004221E2" w:rsidP="00D300AD">
      <w:pPr>
        <w:ind w:right="-57" w:firstLine="540"/>
        <w:jc w:val="both"/>
        <w:rPr>
          <w:b/>
          <w:bCs/>
        </w:rPr>
      </w:pPr>
    </w:p>
    <w:p w14:paraId="73E1393B" w14:textId="0629629B" w:rsidR="00D300AD" w:rsidRPr="00772AC1" w:rsidRDefault="00D300AD" w:rsidP="00D300AD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 w:rsidR="004221E2">
        <w:rPr>
          <w:b/>
          <w:color w:val="0070C0"/>
        </w:rPr>
        <w:t>805 5</w:t>
      </w:r>
      <w:r w:rsidRPr="00684AD4">
        <w:rPr>
          <w:b/>
          <w:color w:val="0070C0"/>
        </w:rPr>
        <w:t xml:space="preserve">00 </w:t>
      </w:r>
      <w:r w:rsidRPr="009C5E98">
        <w:rPr>
          <w:bCs/>
        </w:rPr>
        <w:t>(</w:t>
      </w:r>
      <w:r w:rsidR="004221E2">
        <w:rPr>
          <w:bCs/>
        </w:rPr>
        <w:t>Восемьсот пять тысяч пятьсот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225D73FD" w14:textId="323301C9" w:rsidR="00D300AD" w:rsidRDefault="00D300AD" w:rsidP="00D300A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4221E2">
        <w:rPr>
          <w:b/>
          <w:bCs/>
          <w:color w:val="0070C0"/>
        </w:rPr>
        <w:t>40 275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 w:rsidR="004221E2">
        <w:t>Сорок тысяч двести семьдесят пять</w:t>
      </w:r>
      <w:r w:rsidRPr="009C5E98">
        <w:t>)</w:t>
      </w:r>
      <w:r>
        <w:rPr>
          <w:b/>
          <w:bCs/>
        </w:rPr>
        <w:t xml:space="preserve"> </w:t>
      </w:r>
      <w:r w:rsidRPr="00684AD4">
        <w:rPr>
          <w:b/>
          <w:bCs/>
          <w:color w:val="0070C0"/>
        </w:rPr>
        <w:t>руб. 00 коп.</w:t>
      </w:r>
    </w:p>
    <w:p w14:paraId="76376595" w14:textId="5B33E64C" w:rsidR="00D300AD" w:rsidRDefault="00D300AD" w:rsidP="00D300AD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 w:rsidR="009B022F">
        <w:rPr>
          <w:b/>
          <w:bCs/>
          <w:color w:val="0070C0"/>
        </w:rPr>
        <w:t>1</w:t>
      </w:r>
      <w:r w:rsidR="004221E2">
        <w:rPr>
          <w:b/>
          <w:bCs/>
          <w:color w:val="0070C0"/>
        </w:rPr>
        <w:t>6 110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 w:rsidR="004221E2">
        <w:t>Шестнадцать тысяч сто десять</w:t>
      </w:r>
      <w:r w:rsidRPr="009C5E98"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4629D4C4" w14:textId="77777777" w:rsidR="009C5E98" w:rsidRDefault="009C5E98" w:rsidP="009C5E98">
      <w:pPr>
        <w:rPr>
          <w:b/>
          <w:bCs/>
          <w:color w:val="0070C0"/>
        </w:rPr>
      </w:pPr>
    </w:p>
    <w:p w14:paraId="3DFB92AE" w14:textId="77777777" w:rsidR="00772AC1" w:rsidRDefault="00772AC1" w:rsidP="00C726F7">
      <w:pPr>
        <w:jc w:val="both"/>
        <w:rPr>
          <w:b/>
          <w:color w:val="0070C0"/>
        </w:rPr>
      </w:pPr>
    </w:p>
    <w:p w14:paraId="1DB022BA" w14:textId="77777777" w:rsidR="00A122B3" w:rsidRDefault="00A122B3" w:rsidP="00772AC1">
      <w:pPr>
        <w:ind w:firstLine="720"/>
        <w:jc w:val="both"/>
        <w:rPr>
          <w:b/>
          <w:color w:val="0070C0"/>
        </w:rPr>
      </w:pPr>
    </w:p>
    <w:p w14:paraId="5A3B66B7" w14:textId="77777777" w:rsidR="00AC5F25" w:rsidRDefault="00AC5F25" w:rsidP="00772AC1">
      <w:pPr>
        <w:ind w:firstLine="720"/>
        <w:jc w:val="both"/>
        <w:rPr>
          <w:b/>
          <w:color w:val="0070C0"/>
        </w:rPr>
      </w:pPr>
    </w:p>
    <w:p w14:paraId="0149606A" w14:textId="77777777" w:rsidR="00DB0C86" w:rsidRDefault="00DB0C86" w:rsidP="00772AC1">
      <w:pPr>
        <w:ind w:firstLine="720"/>
        <w:jc w:val="both"/>
        <w:rPr>
          <w:b/>
          <w:color w:val="0070C0"/>
        </w:rPr>
      </w:pPr>
    </w:p>
    <w:p w14:paraId="0000002D" w14:textId="6DCECF52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5C5ABD41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="00772AC1" w:rsidRPr="00CF1626">
          <w:rPr>
            <w:rStyle w:val="af2"/>
            <w:lang w:val="en-US"/>
          </w:rPr>
          <w:t>www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lot</w:t>
        </w:r>
        <w:r w:rsidR="00772AC1" w:rsidRPr="00CF1626">
          <w:rPr>
            <w:rStyle w:val="af2"/>
          </w:rPr>
          <w:t>-</w:t>
        </w:r>
        <w:r w:rsidR="00772AC1" w:rsidRPr="00CF1626">
          <w:rPr>
            <w:rStyle w:val="af2"/>
            <w:lang w:val="en-US"/>
          </w:rPr>
          <w:t>online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89D4E5B" w14:textId="77777777" w:rsidR="005F4F11" w:rsidRDefault="005F4F11">
      <w:pPr>
        <w:ind w:firstLine="567"/>
        <w:jc w:val="center"/>
        <w:rPr>
          <w:b/>
        </w:rPr>
      </w:pPr>
    </w:p>
    <w:p w14:paraId="00000030" w14:textId="31F46A43" w:rsidR="00283CFC" w:rsidRDefault="003313B7">
      <w:pPr>
        <w:ind w:firstLine="567"/>
        <w:jc w:val="center"/>
        <w:rPr>
          <w:b/>
        </w:rPr>
      </w:pPr>
      <w:r>
        <w:rPr>
          <w:b/>
        </w:rPr>
        <w:lastRenderedPageBreak/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1" w:name="_Hlk97896510"/>
      <w:bookmarkStart w:id="2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43409E68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BA7329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21</w:t>
      </w:r>
      <w:r w:rsidR="006C75DE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ноября</w:t>
      </w:r>
      <w:r w:rsidR="002C2743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="00D425C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02</w:t>
      </w:r>
      <w:r w:rsidR="00D300AD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4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</w:t>
      </w:r>
      <w:r w:rsidR="006C75DE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23:59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1ED68884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BA7329">
        <w:rPr>
          <w:b/>
          <w:color w:val="0070C0"/>
          <w:u w:val="single"/>
        </w:rPr>
        <w:t>7</w:t>
      </w:r>
      <w:r w:rsidR="006C75DE">
        <w:rPr>
          <w:b/>
          <w:color w:val="0070C0"/>
          <w:u w:val="single"/>
        </w:rPr>
        <w:t xml:space="preserve"> октября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7D3C04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1C46E8A7" w:rsidR="00283CFC" w:rsidRDefault="003313B7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="00D5080A" w:rsidRPr="00D5080A">
        <w:rPr>
          <w:b/>
          <w:bCs/>
        </w:rPr>
        <w:t>1 (одного)</w:t>
      </w:r>
      <w:r w:rsidRPr="00D5080A">
        <w:rPr>
          <w:b/>
          <w:bCs/>
        </w:rPr>
        <w:t xml:space="preserve">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58958FCD" w14:textId="6E90DC83" w:rsidR="00D5080A" w:rsidRPr="00D5080A" w:rsidRDefault="00D5080A">
      <w:pPr>
        <w:ind w:firstLine="567"/>
        <w:jc w:val="both"/>
        <w:rPr>
          <w:b/>
          <w:bCs/>
        </w:rPr>
      </w:pPr>
      <w:r w:rsidRPr="00D5080A">
        <w:rPr>
          <w:b/>
          <w:bCs/>
        </w:rPr>
        <w:t>При поступлении предложения(й) по цене в течении</w:t>
      </w:r>
      <w:r>
        <w:rPr>
          <w:b/>
          <w:bCs/>
        </w:rPr>
        <w:t xml:space="preserve"> 1 (одного)</w:t>
      </w:r>
      <w:r w:rsidRPr="00D5080A">
        <w:rPr>
          <w:b/>
          <w:bCs/>
        </w:rPr>
        <w:t xml:space="preserve"> часа с момента начала предоставления предложений время приема предложений продлевается на </w:t>
      </w:r>
      <w:r>
        <w:rPr>
          <w:b/>
          <w:bCs/>
        </w:rPr>
        <w:t>3</w:t>
      </w:r>
      <w:r w:rsidRPr="00D5080A">
        <w:rPr>
          <w:b/>
          <w:bCs/>
        </w:rPr>
        <w:t xml:space="preserve">0 минут c момента представления каждого предложения по цене. Торги завершаются через </w:t>
      </w:r>
      <w:r>
        <w:rPr>
          <w:b/>
          <w:bCs/>
        </w:rPr>
        <w:t>3</w:t>
      </w:r>
      <w:r w:rsidRPr="00D5080A">
        <w:rPr>
          <w:b/>
          <w:bCs/>
        </w:rPr>
        <w:t>0 минут с момента представления последнего предложения по цене.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40ED6C09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5D1F8B9C" w14:textId="77777777" w:rsidR="001D0B05" w:rsidRDefault="001D0B05">
      <w:pPr>
        <w:ind w:firstLine="709"/>
        <w:jc w:val="both"/>
      </w:pPr>
    </w:p>
    <w:p w14:paraId="5AD1463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7E974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911537C" w14:textId="6BEED2BE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</w:t>
      </w:r>
      <w:r w:rsidR="006B74A1" w:rsidRPr="00916D94">
        <w:rPr>
          <w:b/>
          <w:bCs/>
        </w:rPr>
        <w:t>размещенной на электронной торговой площ</w:t>
      </w:r>
      <w:r w:rsidR="001D0B05" w:rsidRPr="00916D94">
        <w:rPr>
          <w:b/>
          <w:bCs/>
        </w:rPr>
        <w:t>а</w:t>
      </w:r>
      <w:r w:rsidR="006B74A1" w:rsidRPr="00916D94">
        <w:rPr>
          <w:b/>
          <w:bCs/>
        </w:rPr>
        <w:t>дке</w:t>
      </w:r>
      <w:r w:rsidRPr="00916D94">
        <w:rPr>
          <w:b/>
          <w:bCs/>
        </w:rPr>
        <w:t>.</w:t>
      </w:r>
    </w:p>
    <w:p w14:paraId="0E3C34B2" w14:textId="0F57A35A" w:rsidR="0096261E" w:rsidRPr="00916D94" w:rsidRDefault="0096261E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57B6AC29" w14:textId="186A1FE4" w:rsidR="00532E6C" w:rsidRDefault="00532E6C" w:rsidP="00532E6C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</w:t>
      </w:r>
      <w:r w:rsidR="00697B05" w:rsidRPr="00697B05">
        <w:rPr>
          <w:b/>
          <w:bCs/>
        </w:rPr>
        <w:t>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02765DAE" w14:textId="48DC33B9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763A2DF" w14:textId="21C10714" w:rsidR="003F520C" w:rsidRPr="00916D94" w:rsidRDefault="003F520C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5D53480D" w14:textId="77777777" w:rsidR="00BD57F0" w:rsidRDefault="00BD57F0" w:rsidP="006C7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/>
        <w:jc w:val="both"/>
        <w:rPr>
          <w:b/>
          <w:color w:val="000000"/>
        </w:rPr>
      </w:pPr>
    </w:p>
    <w:sectPr w:rsidR="00BD57F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B04AA" w14:textId="77777777" w:rsidR="005423D9" w:rsidRDefault="005423D9" w:rsidP="00183809">
      <w:r>
        <w:separator/>
      </w:r>
    </w:p>
  </w:endnote>
  <w:endnote w:type="continuationSeparator" w:id="0">
    <w:p w14:paraId="5DF9C1B8" w14:textId="77777777" w:rsidR="005423D9" w:rsidRDefault="005423D9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01B94" w14:textId="77777777" w:rsidR="005423D9" w:rsidRDefault="005423D9" w:rsidP="00183809">
      <w:r>
        <w:separator/>
      </w:r>
    </w:p>
  </w:footnote>
  <w:footnote w:type="continuationSeparator" w:id="0">
    <w:p w14:paraId="62E1F58C" w14:textId="77777777" w:rsidR="005423D9" w:rsidRDefault="005423D9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0B3EF8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04948">
    <w:abstractNumId w:val="0"/>
  </w:num>
  <w:num w:numId="2" w16cid:durableId="1474445946">
    <w:abstractNumId w:val="3"/>
  </w:num>
  <w:num w:numId="3" w16cid:durableId="1318805800">
    <w:abstractNumId w:val="1"/>
  </w:num>
  <w:num w:numId="4" w16cid:durableId="2111585441">
    <w:abstractNumId w:val="2"/>
  </w:num>
  <w:num w:numId="5" w16cid:durableId="260383057">
    <w:abstractNumId w:val="6"/>
  </w:num>
  <w:num w:numId="6" w16cid:durableId="932131549">
    <w:abstractNumId w:val="4"/>
  </w:num>
  <w:num w:numId="7" w16cid:durableId="1209873827">
    <w:abstractNumId w:val="8"/>
  </w:num>
  <w:num w:numId="8" w16cid:durableId="919362721">
    <w:abstractNumId w:val="9"/>
  </w:num>
  <w:num w:numId="9" w16cid:durableId="2068409298">
    <w:abstractNumId w:val="7"/>
  </w:num>
  <w:num w:numId="10" w16cid:durableId="499856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0713E"/>
    <w:rsid w:val="00007CD1"/>
    <w:rsid w:val="00030501"/>
    <w:rsid w:val="00042AFC"/>
    <w:rsid w:val="000571EC"/>
    <w:rsid w:val="00061379"/>
    <w:rsid w:val="00063FB0"/>
    <w:rsid w:val="000747B7"/>
    <w:rsid w:val="00087D69"/>
    <w:rsid w:val="000A065F"/>
    <w:rsid w:val="000B33E9"/>
    <w:rsid w:val="000F4E9D"/>
    <w:rsid w:val="00122D15"/>
    <w:rsid w:val="00151A5F"/>
    <w:rsid w:val="00161004"/>
    <w:rsid w:val="00161120"/>
    <w:rsid w:val="00170516"/>
    <w:rsid w:val="00183809"/>
    <w:rsid w:val="00196F8C"/>
    <w:rsid w:val="001D0B05"/>
    <w:rsid w:val="001E1B6A"/>
    <w:rsid w:val="001E48C2"/>
    <w:rsid w:val="001E4F6D"/>
    <w:rsid w:val="001E5A45"/>
    <w:rsid w:val="002656E7"/>
    <w:rsid w:val="0027322E"/>
    <w:rsid w:val="00283CFC"/>
    <w:rsid w:val="002A052B"/>
    <w:rsid w:val="002A3725"/>
    <w:rsid w:val="002B0A09"/>
    <w:rsid w:val="002C2743"/>
    <w:rsid w:val="002D74CF"/>
    <w:rsid w:val="002F0AF6"/>
    <w:rsid w:val="00305EB4"/>
    <w:rsid w:val="00316BA5"/>
    <w:rsid w:val="003313B7"/>
    <w:rsid w:val="00353EDC"/>
    <w:rsid w:val="00376A26"/>
    <w:rsid w:val="00382803"/>
    <w:rsid w:val="003B1585"/>
    <w:rsid w:val="003B409E"/>
    <w:rsid w:val="003B7FF2"/>
    <w:rsid w:val="003F520C"/>
    <w:rsid w:val="004221E2"/>
    <w:rsid w:val="004232B4"/>
    <w:rsid w:val="00446321"/>
    <w:rsid w:val="004828B9"/>
    <w:rsid w:val="00497809"/>
    <w:rsid w:val="004F3654"/>
    <w:rsid w:val="00527E80"/>
    <w:rsid w:val="00532E6C"/>
    <w:rsid w:val="005423D9"/>
    <w:rsid w:val="00557371"/>
    <w:rsid w:val="00561AF2"/>
    <w:rsid w:val="00563013"/>
    <w:rsid w:val="00564BD7"/>
    <w:rsid w:val="00571501"/>
    <w:rsid w:val="00575472"/>
    <w:rsid w:val="005972CC"/>
    <w:rsid w:val="005A30C0"/>
    <w:rsid w:val="005B1A65"/>
    <w:rsid w:val="005B41E5"/>
    <w:rsid w:val="005C062E"/>
    <w:rsid w:val="005D223E"/>
    <w:rsid w:val="005F4F11"/>
    <w:rsid w:val="00631324"/>
    <w:rsid w:val="00641D64"/>
    <w:rsid w:val="00663454"/>
    <w:rsid w:val="00684AD4"/>
    <w:rsid w:val="006949EF"/>
    <w:rsid w:val="00697B05"/>
    <w:rsid w:val="006B459D"/>
    <w:rsid w:val="006B74A1"/>
    <w:rsid w:val="006C75DE"/>
    <w:rsid w:val="006D5F11"/>
    <w:rsid w:val="006E01E4"/>
    <w:rsid w:val="00722772"/>
    <w:rsid w:val="007420C8"/>
    <w:rsid w:val="007609C6"/>
    <w:rsid w:val="0076234B"/>
    <w:rsid w:val="00772AC1"/>
    <w:rsid w:val="0077791A"/>
    <w:rsid w:val="007B77AD"/>
    <w:rsid w:val="007D3C04"/>
    <w:rsid w:val="007D701D"/>
    <w:rsid w:val="007E68EA"/>
    <w:rsid w:val="007F6039"/>
    <w:rsid w:val="00834F25"/>
    <w:rsid w:val="008435BC"/>
    <w:rsid w:val="008446B9"/>
    <w:rsid w:val="00856ECB"/>
    <w:rsid w:val="00880169"/>
    <w:rsid w:val="008862B6"/>
    <w:rsid w:val="008930C5"/>
    <w:rsid w:val="008A1B1C"/>
    <w:rsid w:val="008B0D1B"/>
    <w:rsid w:val="008F0A4B"/>
    <w:rsid w:val="00916D94"/>
    <w:rsid w:val="0096261E"/>
    <w:rsid w:val="00996E61"/>
    <w:rsid w:val="009B022F"/>
    <w:rsid w:val="009C4334"/>
    <w:rsid w:val="009C5E98"/>
    <w:rsid w:val="009D025E"/>
    <w:rsid w:val="009D5A47"/>
    <w:rsid w:val="009E2591"/>
    <w:rsid w:val="00A00018"/>
    <w:rsid w:val="00A071C7"/>
    <w:rsid w:val="00A122B3"/>
    <w:rsid w:val="00A35321"/>
    <w:rsid w:val="00A4251A"/>
    <w:rsid w:val="00A444A4"/>
    <w:rsid w:val="00A9043E"/>
    <w:rsid w:val="00AA70CC"/>
    <w:rsid w:val="00AC5F25"/>
    <w:rsid w:val="00AC7C7B"/>
    <w:rsid w:val="00AD31B7"/>
    <w:rsid w:val="00AE33F5"/>
    <w:rsid w:val="00AE4E95"/>
    <w:rsid w:val="00B07E81"/>
    <w:rsid w:val="00B44155"/>
    <w:rsid w:val="00B57FED"/>
    <w:rsid w:val="00BA0C18"/>
    <w:rsid w:val="00BA1B10"/>
    <w:rsid w:val="00BA7329"/>
    <w:rsid w:val="00BC45A2"/>
    <w:rsid w:val="00BD57F0"/>
    <w:rsid w:val="00BE6746"/>
    <w:rsid w:val="00C06655"/>
    <w:rsid w:val="00C13306"/>
    <w:rsid w:val="00C30CE6"/>
    <w:rsid w:val="00C57F4D"/>
    <w:rsid w:val="00C645B3"/>
    <w:rsid w:val="00C726F7"/>
    <w:rsid w:val="00C74B1A"/>
    <w:rsid w:val="00C76E49"/>
    <w:rsid w:val="00C96C52"/>
    <w:rsid w:val="00CD4F0F"/>
    <w:rsid w:val="00D0777C"/>
    <w:rsid w:val="00D230FA"/>
    <w:rsid w:val="00D300AD"/>
    <w:rsid w:val="00D30FAE"/>
    <w:rsid w:val="00D425CB"/>
    <w:rsid w:val="00D5080A"/>
    <w:rsid w:val="00D576CA"/>
    <w:rsid w:val="00DB0C86"/>
    <w:rsid w:val="00DB475F"/>
    <w:rsid w:val="00DC31EA"/>
    <w:rsid w:val="00DE6487"/>
    <w:rsid w:val="00DF3CF7"/>
    <w:rsid w:val="00E022F8"/>
    <w:rsid w:val="00E3242B"/>
    <w:rsid w:val="00E326DA"/>
    <w:rsid w:val="00E41428"/>
    <w:rsid w:val="00E61A27"/>
    <w:rsid w:val="00E6364E"/>
    <w:rsid w:val="00E66803"/>
    <w:rsid w:val="00E75740"/>
    <w:rsid w:val="00E904D2"/>
    <w:rsid w:val="00EB4E8A"/>
    <w:rsid w:val="00EF5AF3"/>
    <w:rsid w:val="00F01DB7"/>
    <w:rsid w:val="00F06251"/>
    <w:rsid w:val="00F166ED"/>
    <w:rsid w:val="00F27D20"/>
    <w:rsid w:val="00F561E4"/>
    <w:rsid w:val="00F90048"/>
    <w:rsid w:val="00F9323B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86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customStyle="1" w:styleId="23">
    <w:name w:val="Неразрешенное упоминание2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5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1E4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kutsk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Макаренко Кристина Дмитриевна</cp:lastModifiedBy>
  <cp:revision>30</cp:revision>
  <dcterms:created xsi:type="dcterms:W3CDTF">2023-10-24T07:22:00Z</dcterms:created>
  <dcterms:modified xsi:type="dcterms:W3CDTF">2024-10-07T01:38:00Z</dcterms:modified>
</cp:coreProperties>
</file>