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Новикова Елена Григорьевна (Пасечник Елена Григорьевна) (09.09.1978г.р., место рожд: город Таганрог Ростовской области, адрес рег: 347913, Ростовская обл, Таганрог г, Педагог тер. ДНТ, участок № 55, СНИЛС07034495753, ИНН 615412563131,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19.12.2023г. по делу №А53-31154/2023,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07.10.2024г. по продаже имущества Новиковой Елены Григорьевны,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№1 - 1/4 доля в праве общей долевой собственности на жилое помещение, площадь: 18,1 кв.м., адрес (местонахождение): 347924, Ростовская обл., г. Таганрог, ул. Зои Космодемьянской, 2-1, кв. 184, 185, 186, 187, 188, жилое помещение №184, кадастровый номер: 61:58:0003482:184, площадь: 18,1м², адрес (местонахождение): 347924, Ростовская обл., г. Таганрог, ул. Зои Космодемьянской, 2-1, кв. 184, 185, 186, 187, 188, жилое помещение №184, кадастровый номер: 61:58:0003482:184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07.10.2024г. на сайте https://lot-online.ru/, и указана в Протоколе  от 07.10.2024г.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Новиковой Елены Григорьевны 40817810550173656018</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6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trHeight w:val="85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21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Новикова Елена Григорьевна (Пасечник Елена Григорьевна) (09.09.1978г.р., место рожд: город Таганрог Ростовской области, адрес рег: 347913, Ростовская обл, Таганрог г, Педагог тер. ДНТ, участок № 55, СНИЛС07034495753, ИНН 615412563131,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Новиковой Елены Григорьевны 40817810550173656018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Новиковой Елены Григорьевны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