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7553B8BB" w:rsidR="00D32D4E" w:rsidRPr="0029438E" w:rsidRDefault="00983104" w:rsidP="00BB1545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</w:rPr>
        <w:t xml:space="preserve">Предварительный </w:t>
      </w:r>
      <w:r w:rsidR="00C93E33">
        <w:rPr>
          <w:rFonts w:ascii="Times New Roman" w:hAnsi="Times New Roman"/>
          <w:b/>
          <w:bCs/>
        </w:rPr>
        <w:t>Д</w:t>
      </w:r>
      <w:r w:rsidR="00D32D4E"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BB1545" w:rsidRPr="00BB1545">
        <w:rPr>
          <w:rFonts w:ascii="Times New Roman" w:hAnsi="Times New Roman"/>
          <w:b/>
          <w:bCs/>
        </w:rPr>
        <w:t xml:space="preserve">доли в праве общей долевой собственности </w:t>
      </w:r>
      <w:r w:rsidR="00606457">
        <w:rPr>
          <w:rFonts w:ascii="Times New Roman" w:hAnsi="Times New Roman"/>
          <w:b/>
          <w:bCs/>
        </w:rPr>
        <w:t>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6EF151E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«</w:t>
            </w:r>
            <w:r w:rsidR="00BB1545">
              <w:rPr>
                <w:rFonts w:ascii="Times New Roman" w:hAnsi="Times New Roman"/>
                <w:lang w:eastAsia="ru-RU"/>
              </w:rPr>
              <w:t>15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BB1545">
              <w:rPr>
                <w:rFonts w:ascii="Times New Roman" w:hAnsi="Times New Roman"/>
                <w:lang w:eastAsia="ru-RU"/>
              </w:rPr>
              <w:t>октября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88327F">
              <w:rPr>
                <w:rFonts w:ascii="Times New Roman" w:hAnsi="Times New Roman"/>
                <w:lang w:eastAsia="ru-RU"/>
              </w:rPr>
              <w:t>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3CDA09D3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управляющий </w:t>
      </w:r>
      <w:r w:rsidR="00BB1545" w:rsidRPr="00BB1545">
        <w:rPr>
          <w:rFonts w:ascii="Times New Roman" w:eastAsia="Calibri" w:hAnsi="Times New Roman"/>
          <w:lang w:eastAsia="en-US"/>
        </w:rPr>
        <w:t>гр. Савельев</w:t>
      </w:r>
      <w:r w:rsidR="00BB1545">
        <w:rPr>
          <w:rFonts w:ascii="Times New Roman" w:eastAsia="Calibri" w:hAnsi="Times New Roman"/>
          <w:lang w:eastAsia="en-US"/>
        </w:rPr>
        <w:t>ой</w:t>
      </w:r>
      <w:r w:rsidR="00BB1545" w:rsidRPr="00BB1545">
        <w:rPr>
          <w:rFonts w:ascii="Times New Roman" w:eastAsia="Calibri" w:hAnsi="Times New Roman"/>
          <w:lang w:eastAsia="en-US"/>
        </w:rPr>
        <w:t xml:space="preserve"> Виктори</w:t>
      </w:r>
      <w:r w:rsidR="00BB1545">
        <w:rPr>
          <w:rFonts w:ascii="Times New Roman" w:eastAsia="Calibri" w:hAnsi="Times New Roman"/>
          <w:lang w:eastAsia="en-US"/>
        </w:rPr>
        <w:t>и</w:t>
      </w:r>
      <w:r w:rsidR="00BB1545" w:rsidRPr="00BB1545">
        <w:rPr>
          <w:rFonts w:ascii="Times New Roman" w:eastAsia="Calibri" w:hAnsi="Times New Roman"/>
          <w:lang w:eastAsia="en-US"/>
        </w:rPr>
        <w:t xml:space="preserve"> Сергеевн</w:t>
      </w:r>
      <w:r w:rsidR="00BB1545">
        <w:rPr>
          <w:rFonts w:ascii="Times New Roman" w:eastAsia="Calibri" w:hAnsi="Times New Roman"/>
          <w:lang w:eastAsia="en-US"/>
        </w:rPr>
        <w:t>ы</w:t>
      </w:r>
      <w:r w:rsidR="00BB1545" w:rsidRPr="00BB1545">
        <w:rPr>
          <w:rFonts w:ascii="Times New Roman" w:eastAsia="Calibri" w:hAnsi="Times New Roman"/>
          <w:lang w:eastAsia="en-US"/>
        </w:rPr>
        <w:t xml:space="preserve"> (дата и место рождения: 07.10.1982, гор. Ленинград, ИНН: 472005959632, адрес: Санкт-Петербург, Новоизмайловский пр., д. 30, корп. 2, кв. 70, СНИЛС неизвестен) </w:t>
      </w:r>
      <w:r w:rsidRPr="00AE05F7">
        <w:rPr>
          <w:rFonts w:ascii="Times New Roman" w:eastAsia="Calibri" w:hAnsi="Times New Roman"/>
          <w:lang w:eastAsia="en-US"/>
        </w:rPr>
        <w:t>Аксеник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 xml:space="preserve">», действующая на основании </w:t>
      </w:r>
      <w:r w:rsidR="0088327F" w:rsidRPr="0088327F">
        <w:rPr>
          <w:rFonts w:ascii="Times New Roman" w:eastAsia="Calibri" w:hAnsi="Times New Roman"/>
          <w:lang w:eastAsia="en-US"/>
        </w:rPr>
        <w:t>Решени</w:t>
      </w:r>
      <w:r w:rsidR="00BB1545">
        <w:rPr>
          <w:rFonts w:ascii="Times New Roman" w:eastAsia="Calibri" w:hAnsi="Times New Roman"/>
          <w:lang w:eastAsia="en-US"/>
        </w:rPr>
        <w:t xml:space="preserve">я </w:t>
      </w:r>
      <w:r w:rsidR="00BB1545" w:rsidRPr="00BB1545">
        <w:rPr>
          <w:rFonts w:ascii="Times New Roman" w:eastAsia="Calibri" w:hAnsi="Times New Roman"/>
          <w:lang w:eastAsia="en-US"/>
        </w:rPr>
        <w:t>Арбитражного суда города Санкт-Петербурга и Ленинградской области по делу № А56-83499/2023 от 30.05.2024 г.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1F60A6FD" w:rsidR="00D32D4E" w:rsidRPr="00606457" w:rsidRDefault="0088327F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_________________</w:t>
      </w:r>
      <w:r w:rsidR="00D32D4E" w:rsidRPr="0029438E">
        <w:rPr>
          <w:rFonts w:ascii="Times New Roman" w:hAnsi="Times New Roman"/>
        </w:rPr>
        <w:t xml:space="preserve">(далее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48552D4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</w:t>
      </w:r>
      <w:r w:rsidRPr="0088327F">
        <w:rPr>
          <w:rFonts w:ascii="Times New Roman" w:hAnsi="Times New Roman"/>
        </w:rPr>
        <w:t xml:space="preserve">торгов </w:t>
      </w:r>
      <w:r w:rsidR="002B101E" w:rsidRPr="0088327F">
        <w:rPr>
          <w:rFonts w:ascii="Times New Roman" w:hAnsi="Times New Roman"/>
        </w:rPr>
        <w:t>РАД-</w:t>
      </w:r>
      <w:r w:rsidR="0088327F" w:rsidRPr="0088327F">
        <w:rPr>
          <w:rFonts w:ascii="Times New Roman" w:hAnsi="Times New Roman"/>
        </w:rPr>
        <w:t>________</w:t>
      </w:r>
      <w:r w:rsidR="00C93E33" w:rsidRPr="0088327F">
        <w:rPr>
          <w:rFonts w:ascii="Times New Roman" w:hAnsi="Times New Roman"/>
        </w:rPr>
        <w:t xml:space="preserve"> от</w:t>
      </w:r>
      <w:r w:rsidR="00606457" w:rsidRPr="0088327F">
        <w:rPr>
          <w:rFonts w:ascii="Times New Roman" w:hAnsi="Times New Roman"/>
        </w:rPr>
        <w:t xml:space="preserve"> </w:t>
      </w:r>
      <w:r w:rsidR="0088327F" w:rsidRPr="0088327F">
        <w:rPr>
          <w:rFonts w:ascii="Times New Roman" w:hAnsi="Times New Roman"/>
        </w:rPr>
        <w:t>__________</w:t>
      </w:r>
      <w:r w:rsidR="00C93E33" w:rsidRPr="0088327F">
        <w:rPr>
          <w:rFonts w:ascii="Times New Roman" w:hAnsi="Times New Roman"/>
        </w:rPr>
        <w:t xml:space="preserve"> г. </w:t>
      </w:r>
      <w:r w:rsidRPr="0088327F">
        <w:rPr>
          <w:rFonts w:ascii="Times New Roman" w:hAnsi="Times New Roman"/>
        </w:rPr>
        <w:t>(далее – договор</w:t>
      </w:r>
      <w:r w:rsidRPr="0029438E">
        <w:rPr>
          <w:rFonts w:ascii="Times New Roman" w:hAnsi="Times New Roman"/>
        </w:rPr>
        <w:t>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36449D25" w14:textId="10C00615" w:rsidR="00FE664E" w:rsidRDefault="00BB1545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B1545">
        <w:rPr>
          <w:rFonts w:ascii="Times New Roman" w:hAnsi="Times New Roman"/>
        </w:rPr>
        <w:t xml:space="preserve">¼ доли в праве общей долевой собственности на 1-комнатную квартиру, кадастровый № 78:14:0007548:10837, расположенной по адресу Санкт-Петербург, </w:t>
      </w:r>
      <w:proofErr w:type="spellStart"/>
      <w:r w:rsidRPr="00BB1545">
        <w:rPr>
          <w:rFonts w:ascii="Times New Roman" w:hAnsi="Times New Roman"/>
        </w:rPr>
        <w:t>пр-кт</w:t>
      </w:r>
      <w:proofErr w:type="spellEnd"/>
      <w:r w:rsidRPr="00BB1545">
        <w:rPr>
          <w:rFonts w:ascii="Times New Roman" w:hAnsi="Times New Roman"/>
        </w:rPr>
        <w:t xml:space="preserve"> Новоизмайловский, д.30, корп.2, литера А, кв. 70.</w:t>
      </w:r>
    </w:p>
    <w:p w14:paraId="30779A42" w14:textId="77777777" w:rsidR="00BB1545" w:rsidRPr="0029438E" w:rsidRDefault="00BB1545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5B7F824B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BB1545">
        <w:rPr>
          <w:rFonts w:ascii="Times New Roman" w:hAnsi="Times New Roman"/>
        </w:rPr>
        <w:t>Савельевой Виктории Сергеевны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r w:rsidR="00BB1545">
        <w:rPr>
          <w:rFonts w:ascii="Times New Roman" w:hAnsi="Times New Roman"/>
        </w:rPr>
        <w:t xml:space="preserve">Савельевой Виктории Сергеевны. </w:t>
      </w:r>
    </w:p>
    <w:p w14:paraId="72738B18" w14:textId="41760DE3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BB1545">
        <w:rPr>
          <w:rFonts w:ascii="Times New Roman" w:hAnsi="Times New Roman"/>
        </w:rPr>
        <w:t>Савельевой Виктории Сергеевны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63D3DD9A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</w:t>
      </w:r>
      <w:r w:rsidR="00BB1545">
        <w:rPr>
          <w:rFonts w:ascii="Times New Roman" w:hAnsi="Times New Roman"/>
        </w:rPr>
        <w:t xml:space="preserve">. </w:t>
      </w:r>
      <w:r w:rsidRPr="0029438E">
        <w:rPr>
          <w:rFonts w:ascii="Times New Roman" w:hAnsi="Times New Roman"/>
        </w:rPr>
        <w:t>Покупателем не могут быть предъявлены Продавцу какие бы то ни было требования, основанием которых могли бы явиться недостатки, включая требования об устранении недостатков</w:t>
      </w:r>
      <w:r w:rsidR="00BB1545">
        <w:rPr>
          <w:rFonts w:ascii="Times New Roman" w:hAnsi="Times New Roman"/>
        </w:rPr>
        <w:t xml:space="preserve"> или</w:t>
      </w:r>
      <w:r w:rsidRPr="0029438E">
        <w:rPr>
          <w:rFonts w:ascii="Times New Roman" w:hAnsi="Times New Roman"/>
        </w:rPr>
        <w:t xml:space="preserve"> о снижении цены имущества. До заключения настоящего договора и принятия решения об участии в торгах Покупателем произведена подробная проверка </w:t>
      </w:r>
      <w:r w:rsidR="00BB1545">
        <w:rPr>
          <w:rFonts w:ascii="Times New Roman" w:hAnsi="Times New Roman"/>
        </w:rPr>
        <w:t>характеристик</w:t>
      </w:r>
      <w:r w:rsidRPr="0029438E">
        <w:rPr>
          <w:rFonts w:ascii="Times New Roman" w:hAnsi="Times New Roman"/>
        </w:rPr>
        <w:t>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1ECED792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lastRenderedPageBreak/>
        <w:t xml:space="preserve">2.1. Цена продажи Имущества в соответствии с протоколом об итогах проведения торгов </w:t>
      </w:r>
      <w:r w:rsidRPr="0088327F">
        <w:rPr>
          <w:rFonts w:ascii="Times New Roman" w:hAnsi="Times New Roman"/>
          <w:color w:val="000000" w:themeColor="text1"/>
          <w:lang w:eastAsia="ru-RU"/>
        </w:rPr>
        <w:t>составляет</w:t>
      </w:r>
      <w:r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BB1545">
        <w:rPr>
          <w:rFonts w:ascii="Times New Roman" w:hAnsi="Times New Roman"/>
          <w:color w:val="FF0000"/>
          <w:lang w:eastAsia="ru-RU"/>
        </w:rPr>
        <w:t>1 000 000</w:t>
      </w:r>
      <w:r w:rsidR="003066C9"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88327F">
        <w:rPr>
          <w:rFonts w:ascii="Times New Roman" w:hAnsi="Times New Roman"/>
          <w:color w:val="FF0000"/>
          <w:lang w:eastAsia="ru-RU"/>
        </w:rPr>
        <w:t>(</w:t>
      </w:r>
      <w:r w:rsidR="00BB1545">
        <w:rPr>
          <w:rFonts w:ascii="Times New Roman" w:hAnsi="Times New Roman"/>
          <w:color w:val="FF0000"/>
          <w:lang w:eastAsia="ru-RU"/>
        </w:rPr>
        <w:t>один миллион</w:t>
      </w:r>
      <w:r w:rsidR="0088327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88327F">
        <w:rPr>
          <w:rFonts w:ascii="Times New Roman" w:hAnsi="Times New Roman"/>
          <w:color w:val="FF0000"/>
          <w:lang w:eastAsia="ru-RU"/>
        </w:rPr>
        <w:t>рублей 0</w:t>
      </w:r>
      <w:r w:rsidR="0088327F" w:rsidRPr="0088327F">
        <w:rPr>
          <w:rFonts w:ascii="Times New Roman" w:hAnsi="Times New Roman"/>
          <w:color w:val="FF0000"/>
          <w:lang w:eastAsia="ru-RU"/>
        </w:rPr>
        <w:t>0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 копе</w:t>
      </w:r>
      <w:r w:rsidR="0088327F" w:rsidRPr="0088327F">
        <w:rPr>
          <w:rFonts w:ascii="Times New Roman" w:hAnsi="Times New Roman"/>
          <w:color w:val="FF0000"/>
          <w:lang w:eastAsia="ru-RU"/>
        </w:rPr>
        <w:t>ек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) </w:t>
      </w:r>
      <w:r w:rsidRPr="0088327F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54C6B5BE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BB1545">
        <w:rPr>
          <w:rFonts w:ascii="Times New Roman" w:hAnsi="Times New Roman"/>
          <w:color w:val="FF0000"/>
          <w:lang w:eastAsia="ru-RU"/>
        </w:rPr>
        <w:t>50 000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BB1545">
        <w:rPr>
          <w:rFonts w:ascii="Times New Roman" w:hAnsi="Times New Roman"/>
          <w:color w:val="FF0000"/>
          <w:lang w:eastAsia="ru-RU"/>
        </w:rPr>
        <w:t xml:space="preserve">пятидесяти </w:t>
      </w:r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BB1545">
        <w:rPr>
          <w:rFonts w:ascii="Times New Roman" w:hAnsi="Times New Roman"/>
          <w:lang w:eastAsia="ru-RU"/>
        </w:rPr>
        <w:t>Савельевой Виктории Сергеевны,</w:t>
      </w:r>
      <w:r w:rsidR="00AE05F7" w:rsidRPr="00AE05F7">
        <w:rPr>
          <w:rFonts w:ascii="Times New Roman" w:hAnsi="Times New Roman"/>
          <w:lang w:eastAsia="ru-RU"/>
        </w:rPr>
        <w:t xml:space="preserve">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3E816260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BB1545">
        <w:rPr>
          <w:rFonts w:ascii="Times New Roman" w:hAnsi="Times New Roman"/>
          <w:color w:val="FF0000"/>
          <w:lang w:eastAsia="ru-RU"/>
        </w:rPr>
        <w:t>950 000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BB1545">
        <w:rPr>
          <w:rFonts w:ascii="Times New Roman" w:hAnsi="Times New Roman"/>
          <w:color w:val="FF0000"/>
          <w:lang w:eastAsia="ru-RU"/>
        </w:rPr>
        <w:t>девятьсот пятьдесят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тысяч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</w:t>
      </w:r>
      <w:r w:rsidR="007F0573" w:rsidRPr="00AE05F7">
        <w:rPr>
          <w:rFonts w:ascii="Times New Roman" w:hAnsi="Times New Roman"/>
          <w:color w:val="FF0000"/>
          <w:lang w:eastAsia="ru-RU"/>
        </w:rPr>
        <w:t>рублей 0</w:t>
      </w:r>
      <w:r w:rsidR="00321CD7">
        <w:rPr>
          <w:rFonts w:ascii="Times New Roman" w:hAnsi="Times New Roman"/>
          <w:color w:val="FF0000"/>
          <w:lang w:eastAsia="ru-RU"/>
        </w:rPr>
        <w:t>0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ейка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296E99CD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2.5. Покупатель перечисляет подлежащую оплате сумму, указанную в пункте 2.3. договора, единовременно в течение 30 (тридцати) календарных дней </w:t>
      </w:r>
      <w:r w:rsidRPr="00983104">
        <w:rPr>
          <w:rFonts w:ascii="Times New Roman" w:hAnsi="Times New Roman"/>
          <w:highlight w:val="yellow"/>
          <w:lang w:eastAsia="ru-RU"/>
        </w:rPr>
        <w:t xml:space="preserve">с даты </w:t>
      </w:r>
      <w:r w:rsidR="00983104" w:rsidRPr="00983104">
        <w:rPr>
          <w:rFonts w:ascii="Times New Roman" w:hAnsi="Times New Roman"/>
          <w:highlight w:val="yellow"/>
          <w:lang w:eastAsia="ru-RU"/>
        </w:rPr>
        <w:t>нотариального удостоверения</w:t>
      </w:r>
      <w:r w:rsidRPr="0029438E">
        <w:rPr>
          <w:rFonts w:ascii="Times New Roman" w:hAnsi="Times New Roman"/>
          <w:lang w:eastAsia="ru-RU"/>
        </w:rPr>
        <w:t xml:space="preserve">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4248FAE1" w14:textId="06284850" w:rsidR="00983104" w:rsidRPr="00983104" w:rsidRDefault="00D32D4E" w:rsidP="00BB1545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highlight w:val="yellow"/>
          <w:lang w:eastAsia="ru-RU"/>
        </w:rPr>
      </w:pPr>
      <w:r w:rsidRPr="00983104">
        <w:rPr>
          <w:rFonts w:ascii="Times New Roman" w:hAnsi="Times New Roman"/>
          <w:bCs/>
          <w:highlight w:val="yellow"/>
          <w:lang w:eastAsia="ru-RU"/>
        </w:rPr>
        <w:t xml:space="preserve">3.1. </w:t>
      </w:r>
      <w:r w:rsidR="00983104" w:rsidRPr="00983104">
        <w:rPr>
          <w:rFonts w:ascii="Times New Roman" w:hAnsi="Times New Roman"/>
          <w:bCs/>
          <w:highlight w:val="yellow"/>
          <w:lang w:eastAsia="ru-RU"/>
        </w:rPr>
        <w:t xml:space="preserve">Покупатель осведомлен о необходимости нотариального удостоверения Договора купли-продажи доли в праве общей долевой собственности. </w:t>
      </w:r>
    </w:p>
    <w:p w14:paraId="0CD7C344" w14:textId="60E61EB7" w:rsidR="00983104" w:rsidRPr="00983104" w:rsidRDefault="00983104" w:rsidP="0098310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highlight w:val="yellow"/>
          <w:lang w:eastAsia="ru-RU"/>
        </w:rPr>
      </w:pPr>
      <w:r w:rsidRPr="00983104">
        <w:rPr>
          <w:rFonts w:ascii="Times New Roman" w:hAnsi="Times New Roman"/>
          <w:bCs/>
          <w:highlight w:val="yellow"/>
          <w:lang w:eastAsia="ru-RU"/>
        </w:rPr>
        <w:t>3.2. Нотариальное удостоверение Договора купли-продажи доли в праве общей долевой собственности осуществляется в течение 10 (десяти) рабочих дней после подписания настоящего Предварительного Договора купли-продажи доли в праве общей долевой собственности.</w:t>
      </w:r>
    </w:p>
    <w:p w14:paraId="53C8B516" w14:textId="77354471" w:rsidR="00983104" w:rsidRDefault="00983104" w:rsidP="00983104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983104">
        <w:rPr>
          <w:rFonts w:ascii="Times New Roman" w:hAnsi="Times New Roman"/>
          <w:bCs/>
          <w:highlight w:val="yellow"/>
          <w:lang w:eastAsia="ru-RU"/>
        </w:rPr>
        <w:t>3.3.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</w:t>
      </w:r>
      <w:r w:rsidRPr="0029438E">
        <w:rPr>
          <w:rFonts w:ascii="Times New Roman" w:hAnsi="Times New Roman"/>
          <w:bCs/>
          <w:lang w:eastAsia="ru-RU"/>
        </w:rPr>
        <w:t xml:space="preserve"> </w:t>
      </w:r>
    </w:p>
    <w:p w14:paraId="21414289" w14:textId="100C140E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</w:t>
      </w:r>
      <w:r w:rsidR="00983104">
        <w:rPr>
          <w:rFonts w:ascii="Times New Roman" w:hAnsi="Times New Roman"/>
          <w:bCs/>
          <w:lang w:eastAsia="ru-RU"/>
        </w:rPr>
        <w:t>4</w:t>
      </w:r>
      <w:r w:rsidRPr="0029438E">
        <w:rPr>
          <w:rFonts w:ascii="Times New Roman" w:hAnsi="Times New Roman"/>
          <w:bCs/>
          <w:lang w:eastAsia="ru-RU"/>
        </w:rPr>
        <w:t xml:space="preserve">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112160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</w:t>
      </w:r>
      <w:r w:rsidR="00983104">
        <w:rPr>
          <w:rFonts w:ascii="Times New Roman" w:hAnsi="Times New Roman"/>
          <w:bCs/>
          <w:lang w:eastAsia="ru-RU"/>
        </w:rPr>
        <w:t>4</w:t>
      </w:r>
      <w:r w:rsidRPr="0029438E">
        <w:rPr>
          <w:rFonts w:ascii="Times New Roman" w:hAnsi="Times New Roman"/>
          <w:bCs/>
          <w:lang w:eastAsia="ru-RU"/>
        </w:rPr>
        <w:t>.1. Обязанность по передаче имущества Покупателю считается исполненной;</w:t>
      </w:r>
    </w:p>
    <w:p w14:paraId="40012427" w14:textId="32BAADFD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</w:t>
      </w:r>
      <w:r w:rsidR="00983104">
        <w:rPr>
          <w:rFonts w:ascii="Times New Roman" w:hAnsi="Times New Roman"/>
          <w:lang w:eastAsia="ru-RU"/>
        </w:rPr>
        <w:t>4</w:t>
      </w:r>
      <w:r w:rsidRPr="0029438E">
        <w:rPr>
          <w:rFonts w:ascii="Times New Roman" w:hAnsi="Times New Roman"/>
          <w:lang w:eastAsia="ru-RU"/>
        </w:rPr>
        <w:t>.2. Риск утраты (включая гибель и хищение) или повреждения имущества переходит от Продавца к Покупателю.</w:t>
      </w:r>
    </w:p>
    <w:p w14:paraId="06D4C1F7" w14:textId="77CA4272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</w:t>
      </w:r>
      <w:r w:rsidR="00983104">
        <w:rPr>
          <w:rFonts w:ascii="Times New Roman" w:hAnsi="Times New Roman"/>
          <w:lang w:eastAsia="ru-RU"/>
        </w:rPr>
        <w:t>5</w:t>
      </w:r>
      <w:r w:rsidRPr="0029438E">
        <w:rPr>
          <w:rFonts w:ascii="Times New Roman" w:hAnsi="Times New Roman"/>
          <w:lang w:eastAsia="ru-RU"/>
        </w:rPr>
        <w:t>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2298A78F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</w:t>
      </w:r>
      <w:r w:rsidR="00983104">
        <w:rPr>
          <w:rFonts w:ascii="Times New Roman" w:hAnsi="Times New Roman"/>
          <w:lang w:eastAsia="ru-RU"/>
        </w:rPr>
        <w:t>6</w:t>
      </w:r>
      <w:r w:rsidRPr="0029438E">
        <w:rPr>
          <w:rFonts w:ascii="Times New Roman" w:hAnsi="Times New Roman"/>
          <w:lang w:eastAsia="ru-RU"/>
        </w:rPr>
        <w:t>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023DED58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</w:t>
      </w:r>
      <w:r w:rsidR="00983104">
        <w:rPr>
          <w:rFonts w:ascii="Times New Roman" w:hAnsi="Times New Roman"/>
          <w:lang w:eastAsia="ru-RU"/>
        </w:rPr>
        <w:t>7</w:t>
      </w:r>
      <w:r w:rsidRPr="0029438E">
        <w:rPr>
          <w:rFonts w:ascii="Times New Roman" w:hAnsi="Times New Roman"/>
          <w:lang w:eastAsia="ru-RU"/>
        </w:rPr>
        <w:t xml:space="preserve">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</w:t>
      </w:r>
      <w:r w:rsidRPr="0029438E">
        <w:rPr>
          <w:rFonts w:ascii="Times New Roman" w:hAnsi="Times New Roman"/>
          <w:lang w:eastAsia="ru-RU"/>
        </w:rPr>
        <w:lastRenderedPageBreak/>
        <w:t>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7F6D5FD1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BB1545">
              <w:rPr>
                <w:rFonts w:ascii="Times New Roman" w:hAnsi="Times New Roman"/>
              </w:rPr>
              <w:t>Савельевой Виктории Сергеевны</w:t>
            </w:r>
            <w:r w:rsidR="00AE05F7" w:rsidRPr="00AE05F7">
              <w:rPr>
                <w:rFonts w:ascii="Times New Roman" w:hAnsi="Times New Roman"/>
              </w:rPr>
              <w:t xml:space="preserve"> 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E94CB0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2FDB96A7" w:rsidR="00D32D4E" w:rsidRPr="000A324F" w:rsidRDefault="00E94CB0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94CB0">
              <w:rPr>
                <w:rFonts w:ascii="Times New Roman" w:hAnsi="Times New Roman"/>
              </w:rPr>
              <w:t>Савельева Виктория Сергеевна, ИНН 472005959632, ПАО «Сбербанк России» БИК 044525225, к/с 30101810400000000225, , р/с 40817810955176634863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>Д.С. Аксеник</w:t>
            </w:r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49578CE7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sectPr w:rsidR="00D32D4E" w:rsidRPr="0029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F079C"/>
    <w:rsid w:val="003066C9"/>
    <w:rsid w:val="00321CD7"/>
    <w:rsid w:val="0037755E"/>
    <w:rsid w:val="003A44B4"/>
    <w:rsid w:val="004D7EE6"/>
    <w:rsid w:val="00574934"/>
    <w:rsid w:val="00606457"/>
    <w:rsid w:val="0068528E"/>
    <w:rsid w:val="007C6FBD"/>
    <w:rsid w:val="007F0573"/>
    <w:rsid w:val="007F2880"/>
    <w:rsid w:val="00831F61"/>
    <w:rsid w:val="008368AF"/>
    <w:rsid w:val="0088327F"/>
    <w:rsid w:val="008F2481"/>
    <w:rsid w:val="00937C3E"/>
    <w:rsid w:val="00981439"/>
    <w:rsid w:val="00983104"/>
    <w:rsid w:val="009B0947"/>
    <w:rsid w:val="00A91EA2"/>
    <w:rsid w:val="00AE05F7"/>
    <w:rsid w:val="00BB1545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E94CB0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7</cp:revision>
  <cp:lastPrinted>2022-10-04T13:20:00Z</cp:lastPrinted>
  <dcterms:created xsi:type="dcterms:W3CDTF">2023-11-16T13:19:00Z</dcterms:created>
  <dcterms:modified xsi:type="dcterms:W3CDTF">2024-08-29T14:30:00Z</dcterms:modified>
</cp:coreProperties>
</file>