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сообщает о проведении электронного аукциона, открытого по составу участников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2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>
        <w:rPr>
          <w:rFonts w:ascii="Times New Roman" w:hAnsi="Times New Roman"/>
          <w:b/>
          <w:sz w:val="24"/>
          <w:szCs w:val="24"/>
          <w:highlight w:val="yellow"/>
        </w:rPr>
        <w:t>25.12.2024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>, ИНН 7825496985, ОГРН 1037843023712, КПП 781401001, адрес: 197342, Санкт-Петербург, вн.тер.г. муниципальный округ Ланское, наб. Черной речки, д. 47, стр. 2, пом. 1-Н, оф. 372, тел. (812) 702-50-31.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 заявок осуществляется с 21.11.2024 с 09:00 час. по 23.12.2024 до 23:59 час.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электронной торговой площадке АО «Российский аукционный дом»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3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 позднее 23.12.2024.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участников аукциона состоится 24.12.2024.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1: бывший в употреблении тягач седельный КАМАЗ M1840 (модификация 5490-S5),  2023 г.в., VIN: XTC549005P2589608, пробег 117997 км. принадлежащий ЗАО «Альянс-Лизинг» на праве собственности на основании договора купли-продажи № 18779-ГА-ЧЛ-ДКП от 18.10.2023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Характеристики: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Ошиновка двускатная, Топливный бак, л 700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Диаметр шкворня, дюймов 2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Высота ССУ, мм 1150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Колесная база 3780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Межколесная блокировка (МКБ)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Противобуксовочная система (ASR) Система курсовой устойчивости (ESP)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Тормозная система с электронным управлением (EBS)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Пневмоподвеска ведущих мостов с электронной системой управления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(ECAS)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Круиз-контроль Задняя подвеска пневматическая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Максимальная скорость, км/ч 90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Весовые параметры, нагрузки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Нагрузка на седельно-сцепное устройство, кг 107950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Снаряженная масса, кг 7805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Полная масса автомобиля, кг 18600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Двигатель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Модель ДВС Daimler OM 457LA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Количество, расположение цилиндров 6, рядное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Экологический класс ЕВРО-5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Топливо дизельное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Максимальная мощность, лс 401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Максимальная мощность, кВт 295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Коробка передач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Модель КПП ZF 12AS2130 без интардера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Тип КП АКПП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Кабина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Исполнение кабины Daimler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Спальное место 1 спальное место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Крыша высокая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Подвеска кабины 4-х точечная пружинная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Опрокидывание кабины Гидросистема с ручным приводом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солнцезащитный козырек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спойлер на крыше кабины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Отопитель кабины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Кондиционер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Тахограф российского стандарта с блоком СКЗИ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УВЭОС 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Дополнительно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Бак нейтрализующей жидкости 70 л.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Глушитель-нейтрализатор Глушитель-нейтрализатор чемоданного типа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Колеса Дисковые колеса 9,00-22,5 стальные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color w:val="212529"/>
        </w:rPr>
        <w:t>Шины 315/70R22,5 бескамерные цельнометаллокордные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8 200 000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</w:rPr>
        <w:t xml:space="preserve"> рублей</w:t>
      </w:r>
      <w:r>
        <w:rPr>
          <w:rFonts w:ascii="Times New Roman" w:hAnsi="Times New Roman"/>
        </w:rPr>
        <w:t>, в том числе НДС – 20%.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  <w:b/>
        </w:rPr>
        <w:t>100 000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Лот № 2: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</w:t>
      </w:r>
      <w:r>
        <w:rPr>
          <w:rFonts w:ascii="Times New Roman" w:hAnsi="Times New Roman"/>
          <w:b/>
          <w:sz w:val="24"/>
          <w:szCs w:val="24"/>
        </w:rPr>
        <w:t>прицеп</w:t>
      </w:r>
      <w:r>
        <w:rPr>
          <w:rFonts w:ascii="Times New Roman" w:hAnsi="Times New Roman"/>
          <w:b/>
          <w:sz w:val="24"/>
          <w:szCs w:val="24"/>
        </w:rPr>
        <w:t xml:space="preserve">  Schmitz Cargobull SCB, 2023 г.в.. VIN WSM00000003415772, принадлежащий ЗАО «Альянс-Лизинг» на праве собственности на основании договора купли-продажи № 18657-ГА-ЧЛ-ДКП от 15.09.2023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Характеристики: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вес (доп/техн) 39 000 кг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полезная нагрузка (доп/техн) 32 180 кг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оси (доп/техн) 24 000/ 27 000 кг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седло (доп/техн) 15 000 кг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собственный вес 6 976 кг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седла без груза 1 150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подвески 320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колесная база 7 700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длина кузова внутри около 13 620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ширина кузова внутри около 2 480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передней стенки около 2 400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бортов около 620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погрузки сзади без груза около 1 265 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Шасси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 xml:space="preserve">∙ </w:t>
      </w:r>
      <w:r>
        <w:rPr>
          <w:rFonts w:ascii="Times New Roman" w:hAnsi="Times New Roman"/>
          <w:bCs/>
          <w:color w:val="000000"/>
          <w:lang w:val="en-US"/>
        </w:rPr>
        <w:t>CARGOBULL *** H I G H L I G H T S ***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заключительная установка MPP РОССИЯ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допуск к эксплуатации, таблички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2 светоотрaжaющих щиткa 565х200 ЕСЕ-Р70 сзaди вертикaльно нa зaдней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двери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транспортное средство соответствует одобрению типа Евразийского таможенного союза (EAC)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стрaнa регистрaции Российскaя Федерация с сертификaтом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сертификат CEMT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не предназначен для перевозок в таможенном режиме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шaсси "МОDULOS" нa болтaх-зaклёпкaх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межосевое расстояние 1310/1310 mm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высота продольного лонжерона впереди 125мм сзади 400+28мм, цельный,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холоднокатаный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корзинa для 2 зaпaсных колес, нa болтaх, за осевым агрегатом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зaщитa от въездa в привинченном исполнении согласно 70/221/ЕЭС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сцепной шкворень 2" по стaндaрту SАЕ, сменный, позиция 1690мм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боковaя зaщитa от въезда согл. 89/297/ЕЭС, цвет: черный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15 пар проушин, нагрузка 5т на каждую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резиновый зaщитный буфер сзади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ходовой механизм SCHMITZ ROTOS (дисковые тормозa)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3 оси SCB 9т, SP2040, FM1300, ET 120 дисковые тормоза, диаметр 430мм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тормозные диски диаметром 430мм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крепление колесa с осевой центровкой согл. DIN 74361 чaсть 3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Подвеска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пневмоподвеска Шмитц Каргобулл, тип: MRH-KM30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Колеса / диски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шины для местных перевозок (M + S)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производитель шин - по выбору Шмитц Каргобулл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6 шин 385/65R22.5 (11.75х22.5)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6 стaльных дисков ЕТ 120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защитные колпачки для колесных гаек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Крылья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 xml:space="preserve">прямые плaстмассовые </w:t>
      </w:r>
      <w:r>
        <w:rPr>
          <w:rFonts w:ascii="Times New Roman" w:hAnsi="Times New Roman"/>
          <w:color w:val="000000"/>
        </w:rPr>
        <w:t>крылья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брызговики "антиспрей" согл. предписанию 109/2011, с логотипом Schmitz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Тормозная система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двухконтурная тормозная системa с пневмоприводом согл. RR ЕG 71/320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ЕBS 2S/2М, электроннaя тормознaя системa с программой предотвращения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опрокидывания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электропитaние ЕBS согл. ISО 7638 + CАN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энергоaккумулятор с двойной мембраной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подъём / опускaние платформы c функцией автосброса (AUTO-RESET)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Электрика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система освещения 24V по ЕСЕ R48 с многосекционными фонарями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двa 7-полюсных разъема - 1хISО3731 /1хISO1185 и один 15-полюсный рaзъем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DIN ISО12098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кронштейн для зaдних фонaрей, цвет белый, с тиснением SCHMITZ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боковые гaбaритные светодиодные фонaри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1 пaрa светодиодных гaбaритных фонaрей сзaди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Противоподкатная защита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2 противооткaтных упорa с креплением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Кузов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тентовый кузов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комплект для сборки (KIT)‚кузов с анодир. бортами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кузов с тремя средними стойками с каждой стороны в исполнении шторный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кузов с бортами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передняя стенка со стальными угловыми стойками, стальная защита внутри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выс. 350мм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3 пары средних стоек, с 4 усиленными выемками для перекладин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8 алюминиевых борта высотой 620 мм, с комбинир. бугельными скобами с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шагом 200 мм SCS/BS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бортa с регулируемыми cтяжными зaмкaми (4 борта)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2 задние стaльные угловые стойки д/сдвижного тентa ШМИТЦ с устройством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нaтяжения тентa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aлюминиевая двухстворчатая дверь в высоту надстройки, с встроенными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запорными штангами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устройство натяжения тента сзади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пол толщиной 28мм для нагрузки на ось погрузчика 7100кг, испытан по DIN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ЕN 283 (ЕB)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пол Schmitz Cargobull с герметиком по периметру и на стыках плит пола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сдвижная крыша SCB, профиль 110мм, ширина внутри 2350, цельные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алюминиевые внешние профили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сдвижной тент сдвигается также назад (крепление тента крыши впереди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ослабить) перекладины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4 ряда алюминиевых перекладин по бокам кузова SCS, ширина: 120мм, кол-во: 32шт.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сдвижной тент SCS 880г/м2, короткий, усиления для крепления груза и шнур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зигзагом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yстройство быстрого натяжения тента спереди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цвет тента спереди на SCS: белый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цвет тента по бокам: синий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тент крыши "SCHMITZ SAFETY ROOF" цвет: белый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r>
        <w:rPr>
          <w:rFonts w:ascii="Times New Roman" w:hAnsi="Times New Roman"/>
          <w:bCs/>
          <w:color w:val="000000"/>
        </w:rPr>
        <w:t>тент слабо воспламеняемый согласно ISO 3795-1989 / DIN 75200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5 500 000 рублей</w:t>
      </w:r>
      <w:r>
        <w:rPr>
          <w:rFonts w:ascii="Times New Roman" w:hAnsi="Times New Roman"/>
        </w:rPr>
        <w:t>, в том числе НДС – 20%.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  <w:b/>
        </w:rPr>
        <w:t>100 000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Лот № 3: 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</w:t>
      </w:r>
      <w:r>
        <w:rPr>
          <w:rFonts w:ascii="Times New Roman" w:hAnsi="Times New Roman"/>
          <w:b/>
          <w:sz w:val="24"/>
          <w:szCs w:val="24"/>
        </w:rPr>
        <w:t>прицеп</w:t>
      </w:r>
      <w:r>
        <w:rPr>
          <w:rFonts w:ascii="Times New Roman" w:hAnsi="Times New Roman"/>
          <w:b/>
          <w:sz w:val="24"/>
          <w:szCs w:val="24"/>
        </w:rPr>
        <w:t xml:space="preserve"> FLIEGL SDS 350, 2023 г.в, VIN: WFDFLT33902033677, принадлежащий ЗАО «Альянс-Лизинг» на праве собственности на основании договора купли-продажи № 18792-ГА-ЧЛ-ДКП от 19.10.2023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66" w:type="dxa"/>
        <w:jc w:val="left"/>
        <w:tblInd w:w="25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210"/>
        <w:gridCol w:w="1155"/>
      </w:tblGrid>
      <w:tr>
        <w:trPr>
          <w:trHeight w:val="20" w:hRule="atLeast"/>
          <w:cantSplit w:val="true"/>
        </w:trPr>
        <w:tc>
          <w:tcPr>
            <w:tcW w:w="8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Полная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масса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39 000 кг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Собственный вес 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</w:rPr>
              <w:t>5 900</w:t>
            </w:r>
            <w:r>
              <w:rPr>
                <w:rFonts w:cs="Times New Roman" w:ascii="Times New Roman" w:hAnsi="Times New Roman"/>
                <w:lang w:val="en-US"/>
              </w:rPr>
              <w:t xml:space="preserve"> кг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Полезная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нагрузка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29 200 кг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Нагрузка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седельно-сцепное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устройство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11 000 кг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Общая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ширина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макс.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2 550 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Высота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седельно-сцепного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устройства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ненагруженном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состоянии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1 150 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Внутренняя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длина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13 650 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Внутренняя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ширина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2 480 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Высота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боковой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загрузки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спереди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600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Высота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боковой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загрузки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сзади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700 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Внутренняя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высота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спереди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690 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Внутренняя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высота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сзади 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790 мм</w:t>
            </w:r>
          </w:p>
        </w:tc>
      </w:tr>
      <w:tr>
        <w:trPr>
          <w:trHeight w:val="20" w:hRule="atLeast"/>
          <w:cantSplit w:val="true"/>
        </w:trPr>
        <w:tc>
          <w:tcPr>
            <w:tcW w:w="8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Положение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шкворня,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около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8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1 680 мм</w:t>
            </w:r>
          </w:p>
        </w:tc>
      </w:tr>
    </w:tbl>
    <w:p>
      <w:pPr>
        <w:pStyle w:val="Style21"/>
        <w:spacing w:lineRule="auto" w:line="240" w:before="11" w:after="0"/>
        <w:ind w:left="851" w:hanging="0"/>
        <w:rPr>
          <w:rFonts w:ascii="Times New Roman" w:hAnsi="Times New Roman" w:eastAsia="Calibri" w:eastAsiaTheme="minorHAnsi"/>
          <w:lang w:eastAsia="ru-RU"/>
        </w:rPr>
      </w:pPr>
      <w:r>
        <w:rPr>
          <w:rFonts w:eastAsia="Calibri" w:eastAsiaTheme="minorHAnsi" w:ascii="Times New Roman" w:hAnsi="Times New Roman"/>
          <w:lang w:eastAsia="ru-RU"/>
        </w:rPr>
      </w:r>
    </w:p>
    <w:p>
      <w:pPr>
        <w:pStyle w:val="Style21"/>
        <w:spacing w:lineRule="auto" w:line="240" w:before="11" w:after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    </w:t>
      </w:r>
      <w:r>
        <w:rPr>
          <w:rFonts w:ascii="Times New Roman" w:hAnsi="Times New Roman"/>
          <w:b/>
          <w:bCs/>
        </w:rPr>
        <w:t>Комплектация:</w:t>
      </w:r>
    </w:p>
    <w:p>
      <w:pPr>
        <w:pStyle w:val="Style21"/>
        <w:spacing w:lineRule="auto" w:line="240" w:before="11" w:after="0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338" w:type="dxa"/>
        <w:jc w:val="left"/>
        <w:tblInd w:w="28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338"/>
      </w:tblGrid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Описание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Шасси: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Рама: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Сварная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конструкция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из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мелкозернистой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стали,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седельная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плита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spacing w:val="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–х дюймовым</w:t>
            </w:r>
          </w:p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заменяемым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шкворнем.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Наружная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рама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отверстиями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для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крепления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груза.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Опорные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ноги: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24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т.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скоростные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ровной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нижней частью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без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балансира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Выдвижная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лестница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сзади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шт.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противооткатных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башмаков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креплением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Боковая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защита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алюминиевая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Задняя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защиты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стальная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оцинкованная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Крылья: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одночетвертные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над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каждым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колесом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Противодождевые</w:t>
            </w:r>
            <w:r>
              <w:rPr>
                <w:rFonts w:cs="Times New Roman" w:ascii="Times New Roman" w:hAnsi="Times New Roman"/>
                <w:spacing w:val="-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щитки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сзади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Защита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рамы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сзади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Инструментальный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ящик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B</w:t>
            </w:r>
            <w:r>
              <w:rPr>
                <w:rFonts w:cs="Times New Roman" w:ascii="Times New Roman" w:hAnsi="Times New Roman"/>
              </w:rPr>
              <w:t>=650/</w:t>
            </w:r>
            <w:r>
              <w:rPr>
                <w:rFonts w:cs="Times New Roman" w:ascii="Times New Roman" w:hAnsi="Times New Roman"/>
                <w:lang w:val="en-US"/>
              </w:rPr>
              <w:t>H</w:t>
            </w:r>
            <w:r>
              <w:rPr>
                <w:rFonts w:cs="Times New Roman" w:ascii="Times New Roman" w:hAnsi="Times New Roman"/>
              </w:rPr>
              <w:t>=520/</w:t>
            </w:r>
            <w:r>
              <w:rPr>
                <w:rFonts w:cs="Times New Roman" w:ascii="Times New Roman" w:hAnsi="Times New Roman"/>
                <w:lang w:val="en-US"/>
              </w:rPr>
              <w:t>T</w:t>
            </w:r>
            <w:r>
              <w:rPr>
                <w:rFonts w:cs="Times New Roman" w:ascii="Times New Roman" w:hAnsi="Times New Roman"/>
              </w:rPr>
              <w:t>=670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мм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Оси</w:t>
            </w:r>
            <w:r>
              <w:rPr>
                <w:rFonts w:cs="Times New Roman" w:ascii="Times New Roman" w:hAnsi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и подвеска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BPW с дисковыми тормозами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Пневмоподвеска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Тормозная</w:t>
            </w:r>
            <w:r>
              <w:rPr>
                <w:rFonts w:cs="Times New Roman" w:ascii="Times New Roman" w:hAnsi="Times New Roman"/>
                <w:b/>
                <w:bCs/>
                <w:spacing w:val="-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система: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2-х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контурная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тормозная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система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Пружинно-накопительный</w:t>
            </w:r>
            <w:r>
              <w:rPr>
                <w:rFonts w:cs="Times New Roman" w:ascii="Times New Roman" w:hAnsi="Times New Roman"/>
                <w:spacing w:val="-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стояночный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тормоз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различных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штекера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без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соединительных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кабелей.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EBS</w:t>
            </w:r>
            <w:r>
              <w:rPr>
                <w:rFonts w:cs="Times New Roman" w:ascii="Times New Roman" w:hAnsi="Times New Roman"/>
              </w:rPr>
              <w:t>,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электронная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тормозная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система</w:t>
            </w:r>
            <w:r>
              <w:rPr>
                <w:rFonts w:cs="Times New Roman" w:ascii="Times New Roman" w:hAnsi="Times New Roman"/>
                <w:spacing w:val="5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розеткой</w:t>
            </w:r>
            <w:r>
              <w:rPr>
                <w:rFonts w:cs="Times New Roman" w:ascii="Times New Roman" w:hAnsi="Times New Roman"/>
                <w:spacing w:val="3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EBS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спереди,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без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соединительных кабелей.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Полуприцеп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может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эксплуатироваться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тягачом,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оборудованным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АБС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Система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стабилизации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Диски</w:t>
            </w:r>
            <w:r>
              <w:rPr>
                <w:rFonts w:cs="Times New Roman" w:ascii="Times New Roman" w:hAnsi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и</w:t>
            </w:r>
            <w:r>
              <w:rPr>
                <w:rFonts w:cs="Times New Roman" w:ascii="Times New Roman" w:hAnsi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шины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Колеса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385/65</w:t>
            </w:r>
            <w:r>
              <w:rPr>
                <w:rFonts w:cs="Times New Roman" w:ascii="Times New Roman" w:hAnsi="Times New Roman"/>
                <w:spacing w:val="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 xml:space="preserve">R 22,5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(6+1)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Запасное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колесо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креплением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Диски: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стальные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диски,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серебристые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Электрика: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В,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многокамерные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фонари, сбоку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LED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освещение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Защита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задних фонарей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белых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стояночных фонаря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спереди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белых\красных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фонаря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2х7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полюсный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разъем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спереди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без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соединительных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кабелей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Освещение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сзади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Пол: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Плиты,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изготовленные</w:t>
            </w:r>
            <w:r>
              <w:rPr>
                <w:rFonts w:cs="Times New Roman" w:ascii="Times New Roman" w:hAnsi="Times New Roman"/>
                <w:spacing w:val="-7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под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давлением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толщиной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30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мм,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поперечный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Омегообразный</w:t>
            </w:r>
          </w:p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профиль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направляющих.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Допустимая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нагрузка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ось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погрузчика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7100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кг.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Передняя</w:t>
            </w:r>
            <w:r>
              <w:rPr>
                <w:rFonts w:cs="Times New Roman"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стенка/угловые</w:t>
            </w:r>
            <w:r>
              <w:rPr>
                <w:rFonts w:cs="Times New Roman" w:ascii="Times New Roman" w:hAnsi="Times New Roman"/>
                <w:b/>
                <w:bCs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передние</w:t>
            </w:r>
            <w:r>
              <w:rPr>
                <w:rFonts w:cs="Times New Roman"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стойки: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мм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алюминиевый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профиль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высотой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580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мм, угловые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стойки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стальные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оцинкованные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Защита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передней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стенки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140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мм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высотой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Средние</w:t>
            </w:r>
            <w:r>
              <w:rPr>
                <w:rFonts w:cs="Times New Roman" w:ascii="Times New Roman" w:hAnsi="Times New Roman"/>
                <w:b/>
                <w:bCs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стойки: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пары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стоек,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передвигающихся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всей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длине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карманами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для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досок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Доски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4</w:t>
            </w:r>
            <w:r>
              <w:rPr>
                <w:rFonts w:cs="Times New Roman" w:ascii="Times New Roman" w:hAnsi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ряда</w:t>
            </w:r>
            <w:r>
              <w:rPr>
                <w:rFonts w:cs="Times New Roman" w:ascii="Times New Roman" w:hAnsi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деревянных</w:t>
            </w:r>
            <w:r>
              <w:rPr>
                <w:rFonts w:cs="Times New Roman" w:ascii="Times New Roman" w:hAnsi="Times New Roman"/>
                <w:b/>
                <w:bCs/>
                <w:spacing w:val="-5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досок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Задняя</w:t>
            </w:r>
            <w:r>
              <w:rPr>
                <w:rFonts w:cs="Times New Roman" w:ascii="Times New Roman" w:hAnsi="Times New Roman"/>
                <w:b/>
                <w:bCs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стенка/Задние</w:t>
            </w:r>
            <w:r>
              <w:rPr>
                <w:rFonts w:cs="Times New Roman" w:ascii="Times New Roman" w:hAnsi="Times New Roman"/>
                <w:b/>
                <w:bCs/>
                <w:spacing w:val="-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стойки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Задние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стойки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стальные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оцинкованные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до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крыши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Портальные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двери,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створчатые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двумя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интегрированными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замками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Тент: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приваренными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горизонтально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вертикально</w:t>
            </w:r>
            <w:r>
              <w:rPr>
                <w:rFonts w:cs="Times New Roman" w:ascii="Times New Roman" w:hAnsi="Times New Roman"/>
                <w:spacing w:val="-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ремнями,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бока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сдвигаются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отдельно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от</w:t>
            </w:r>
          </w:p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крыши.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Плотность</w:t>
            </w:r>
            <w:r>
              <w:rPr>
                <w:rFonts w:cs="Times New Roman"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тента</w:t>
            </w:r>
            <w:r>
              <w:rPr>
                <w:rFonts w:cs="Times New Roman" w:ascii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900 г/м</w:t>
            </w:r>
            <w:r>
              <w:rPr>
                <w:rFonts w:cs="Times New Roman" w:ascii="Times New Roman" w:hAnsi="Times New Roman"/>
                <w:b/>
                <w:bCs/>
                <w:vertAlign w:val="superscript"/>
              </w:rPr>
              <w:t>2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замки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стальные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Крыша: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Сдвижная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тентованная,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сдвигается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от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ворот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передней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стенке.</w:t>
            </w:r>
          </w:p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Штанга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для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сдвигания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крыши.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Контурная</w:t>
            </w:r>
            <w:r>
              <w:rPr>
                <w:rFonts w:cs="Times New Roman"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маркировка: </w:t>
            </w:r>
            <w:r>
              <w:rPr>
                <w:rFonts w:cs="Times New Roman" w:ascii="Times New Roman" w:hAnsi="Times New Roman"/>
              </w:rPr>
              <w:t>белая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боковом</w:t>
            </w:r>
            <w:r>
              <w:rPr>
                <w:rFonts w:cs="Times New Roman" w:ascii="Times New Roman" w:hAnsi="Times New Roman"/>
                <w:spacing w:val="-4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тенте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Контурная</w:t>
            </w:r>
            <w:r>
              <w:rPr>
                <w:rFonts w:cs="Times New Roman"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маркировка: </w:t>
            </w:r>
            <w:r>
              <w:rPr>
                <w:rFonts w:cs="Times New Roman" w:ascii="Times New Roman" w:hAnsi="Times New Roman"/>
              </w:rPr>
              <w:t>красная</w:t>
            </w: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на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заднем</w:t>
            </w:r>
            <w:r>
              <w:rPr>
                <w:rFonts w:cs="Times New Roman" w:ascii="Times New Roman" w:hAnsi="Times New Roman"/>
                <w:spacing w:val="-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портале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Покраска: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Рама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покрашена DB</w:t>
            </w:r>
            <w:r>
              <w:rPr>
                <w:rFonts w:cs="Times New Roman" w:ascii="Times New Roman" w:hAnsi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7350</w:t>
            </w:r>
            <w:r>
              <w:rPr>
                <w:rFonts w:cs="Times New Roman" w:ascii="Times New Roman" w:hAnsi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серый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Опорные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ноги</w:t>
            </w:r>
            <w:r>
              <w:rPr>
                <w:rFonts w:cs="Times New Roman" w:ascii="Times New Roman" w:hAnsi="Times New Roman"/>
                <w:spacing w:val="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черные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Угловые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стойки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передние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горячеоцинкованные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Передняя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стенка</w:t>
            </w:r>
            <w:r>
              <w:rPr>
                <w:rFonts w:cs="Times New Roman" w:ascii="Times New Roman" w:hAnsi="Times New Roman"/>
                <w:spacing w:val="-3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алюминий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Задние</w:t>
            </w:r>
            <w:r>
              <w:rPr>
                <w:rFonts w:cs="Times New Roman" w:ascii="Times New Roman" w:hAnsi="Times New Roman"/>
                <w:spacing w:val="-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стойки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оцинкованные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Задняя</w:t>
            </w:r>
            <w:r>
              <w:rPr>
                <w:rFonts w:cs="Times New Roman" w:ascii="Times New Roman" w:hAnsi="Times New Roman"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стенка</w:t>
            </w:r>
            <w:r>
              <w:rPr>
                <w:rFonts w:cs="Times New Roman" w:ascii="Times New Roman" w:hAnsi="Times New Roman"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белый</w:t>
            </w:r>
          </w:p>
        </w:tc>
      </w:tr>
      <w:tr>
        <w:trPr>
          <w:trHeight w:val="20" w:hRule="atLeast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hanging="0"/>
              <w:rPr>
                <w:rFonts w:ascii="Times New Roman" w:hAnsi="Times New Roman" w:cs="Times New Roman"/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Тент</w:t>
            </w:r>
            <w:r>
              <w:rPr>
                <w:rFonts w:cs="Times New Roman" w:ascii="Times New Roman" w:hAnsi="Times New Roman"/>
                <w:b/>
                <w:bCs/>
                <w:spacing w:val="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RAL</w:t>
            </w:r>
            <w:r>
              <w:rPr>
                <w:rFonts w:cs="Times New Roman" w:ascii="Times New Roman" w:hAnsi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9006</w:t>
            </w:r>
            <w:r>
              <w:rPr>
                <w:rFonts w:cs="Times New Roman" w:ascii="Times New Roman" w:hAnsi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серебристый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5 000 000 рублей</w:t>
      </w:r>
      <w:r>
        <w:rPr>
          <w:rFonts w:ascii="Times New Roman" w:hAnsi="Times New Roman"/>
        </w:rPr>
        <w:t>, в том числе НДС – 20%.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  <w:b/>
        </w:rPr>
        <w:t>100 000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</w:rPr>
        <w:t xml:space="preserve">Лот № 4: </w:t>
      </w:r>
      <w:r>
        <w:rPr>
          <w:rFonts w:ascii="Times New Roman" w:hAnsi="Times New Roman"/>
          <w:b/>
          <w:sz w:val="24"/>
          <w:szCs w:val="24"/>
        </w:rPr>
        <w:t>бывший в употреблении тягач седельный BEIBEN BBTR1848 (4х2) , 2023 г.в., VIN: LBZ437BB2PA004485, пробег 128 000 км, принадлежащий ЗАО «Альянс-Лизинг» на праве собственности на основании договора купли-продажи № 18904-ГА-ЧЛ-ДКП от 04.12.2023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ДВИГАТЕЛЬ: WP13.480E501 (WEICHAI)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Экологический класс – ЕВРО 5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 xml:space="preserve">Рабочий объем - 12 540 куб.см., мощность 480 л.с.,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ШАССИ И ХОДОВАЯ ЧАСТЬ: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Колесная база - 3 900 мм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Передняя подвеска – параболические рессоры 7,5 т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Задняя подвеска – электронно-контролируемая пневматическая (ECAS) 13т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Топливный бак – алюминиевый 700 + 400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ТРАНСМИССИЯ И КАБИНА: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Fast gear amt – роботизированная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Количество передач – 12+2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Ведущий мост – с гипоидной передачей производитель BEIBEN, HL6 (по лицензии Мерседес-Бенц)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Высота от пола до потолка – 1 906 мм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Подвеска кабины – пневматическая 4х точечная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телематики BEIBEN CONNECT - телематическая система, передающая данные по автомобилю в любую из существующих программ управления автопарками, а также позволяет производить удаленную диагностику а/м и передавать коды ошибок на сервисную станцию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7 0</w:t>
      </w:r>
      <w:bookmarkStart w:id="0" w:name="_GoBack"/>
      <w:bookmarkEnd w:id="0"/>
      <w:r>
        <w:rPr>
          <w:rFonts w:ascii="Times New Roman" w:hAnsi="Times New Roman"/>
          <w:b/>
        </w:rPr>
        <w:t>00 000 рублей</w:t>
      </w:r>
      <w:r>
        <w:rPr>
          <w:rFonts w:ascii="Times New Roman" w:hAnsi="Times New Roman"/>
        </w:rPr>
        <w:t>, в том числе НДС – 20%.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  <w:b/>
        </w:rPr>
        <w:t>100 000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</w:rPr>
        <w:t xml:space="preserve">Лот № 5: </w:t>
      </w:r>
      <w:r>
        <w:rPr>
          <w:rFonts w:ascii="Times New Roman" w:hAnsi="Times New Roman"/>
          <w:b/>
          <w:sz w:val="24"/>
          <w:szCs w:val="24"/>
        </w:rPr>
        <w:t>бывший в употреблении Автомобиль GWM TANK 300, 2023 г.в., VIN: LGWFF7A52PJ648527, пробег 15774 км, объем двигателя 1967 куб.см., мощность 220 л.с., принадлежащий ЗАО «Альянс-Лизинг» на праве собственности на основании договора купли-продажи № 18925-ЛА-ЧЛ-ДКП от 06.12.2023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Стандартное оборудование для всех версий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Управление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Рулевая колонка, регулируемая по высоте и вылету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Электроусилитель рулевого управления с переменным усилием и возможностью выбора режима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Стояночный тормоз с электроприводом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Блокировка заднего межколёсного дифференциала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Интеллектуальная система старт/стоп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помощи при спуске и при трогании на подъеме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выбора режимов движения с режимом "Эксперт"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Функция поддержания малой скорости на бездорожье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(Creep mode)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помощи при повороте на бездорожье (Tank turn)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Экстерьер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Легкосплавные колёсные диски 17''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Полноразмерное легкосплавное запасное колесо с креплением на двери багажника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Распашная дверь багажника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Фиксированные боковые подножки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Рейлинги на крыше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Люк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Подготовка под установку ТСУ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Защита двигателя снизу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Интерьер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Отделка интерьера чёрного цвета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Мультифункциональное рулевое колесо с функцией подогрева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Подрулевые лепестки переключения передач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Цифровая приборная панель 12,3''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Сиденья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Передние сиденья с функциями подогрева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Сиденье водителя с электрорегулировкой поясничной поддержки и функцией массажа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Сиденье переднего пассажира с электрорегулировкой в 4-х направлениях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Задние сиденья с функцией подогрева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Регулировка угла наклона спинки заднего ряда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Центральный подлокотник сидений заднего ряда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Складываемый задний ряд сидений в соотношении 60:40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Мультимедиа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Мультимедийная система с 12,3” цветным сенсорным дисплеем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Аудиосистема с радио AM/FM и Bluetooth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Поддержка систем Apple CarPlay и Android Auto для интеграции со смартфонами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Акустическая система (8 динамиков) + сабвуфер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Разъемы 12v спереди и в багажнике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Разъёмы USB спереди и сзади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Разъём для подключения видеорегистратора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>Безопасность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Электронная система стабилизации с расширенными возможностями (ESP+TCS+RMI)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помощи при экстренном торможении автомобиля (BAS)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Функция автоматического торможения на малой скорости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Ограничитель скорости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Адаптивный круиз-контроль (ACC) с функцией движения на малых скоростях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предупреждения о выходе из полосы движения с функциями возврата в полосу и удержания в центре полосы (LDW+LKA+LCK)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Камера кругового обзора с функцией "прозрачного" капота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Задние и передние датчики парковки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контроля усталости водителя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Фронтальные и передние боковые подушки безопасности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Преднатяжители ремней безопасности переднего ряда сидений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крепления детских кресел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Функция поиска автомобиля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распознавания дорожных знаков (TSR)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Система бесключевого доступа и запуск автомобиля кнопкой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Климат-контроль, двухзонный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Электрообогрев лобового стекла и форсунок омывателя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Омыватель камеры заднего вида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Зеркала заднего вида с электроуправлением, электроприводом механизма складывания и обогревом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Светодиодные фары ближнего и дальнего света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Автоматическое управление дальним светом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Передние противотуманные фары и задние противотуманные фонари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Функция подсветки поворота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Датчик света и дождя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color w:val="FFFFFF"/>
        </w:rPr>
        <w:t>Дополнительно комплектация Adventure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Контурная подсветка интерьера (7 цветов)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Отделка сидений искуственной кожей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• </w:t>
      </w:r>
      <w:r>
        <w:rPr>
          <w:rFonts w:ascii="Times New Roman" w:hAnsi="Times New Roman"/>
          <w:color w:val="000000"/>
        </w:rPr>
        <w:t>Сиденье водителя с электрорегулировкой в 6-ти направлениях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Отсутствует запасное колесо.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>3 550 000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Задаток: </w:t>
      </w:r>
      <w:r>
        <w:rPr>
          <w:rFonts w:ascii="Times New Roman" w:hAnsi="Times New Roman"/>
          <w:b/>
          <w:sz w:val="24"/>
          <w:szCs w:val="24"/>
        </w:rPr>
        <w:t>100 000 рублей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4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5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r>
        <w:rPr>
          <w:rFonts w:ascii="Times New Roman" w:hAnsi="Times New Roman"/>
          <w:b/>
          <w:sz w:val="24"/>
          <w:szCs w:val="24"/>
        </w:rPr>
        <w:t>ст.ст.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6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(далее - Регламент).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7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>
      <w:pPr>
        <w:pStyle w:val="Normal"/>
        <w:spacing w:before="0" w:after="0"/>
        <w:ind w:firstLine="709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9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right" w:pos="4762" w:leader="dot"/>
        </w:tabs>
        <w:spacing w:lineRule="atLeast" w:line="210" w:before="0" w:after="0"/>
        <w:ind w:firstLine="567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>
      <w:pPr>
        <w:pStyle w:val="Normal"/>
        <w:tabs>
          <w:tab w:val="clear" w:pos="708"/>
          <w:tab w:val="right" w:pos="4762" w:leader="dot"/>
        </w:tabs>
        <w:spacing w:lineRule="atLeast" w:line="210" w:before="0" w:after="0"/>
        <w:ind w:firstLine="567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>
      <w:pPr>
        <w:pStyle w:val="Normal"/>
        <w:tabs>
          <w:tab w:val="clear" w:pos="708"/>
          <w:tab w:val="right" w:pos="4762" w:leader="dot"/>
        </w:tabs>
        <w:spacing w:lineRule="atLeast" w:line="210" w:before="0" w:after="0"/>
        <w:ind w:firstLine="567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>
      <w:pPr>
        <w:pStyle w:val="Normal"/>
        <w:tabs>
          <w:tab w:val="clear" w:pos="708"/>
          <w:tab w:val="right" w:pos="4762" w:leader="dot"/>
        </w:tabs>
        <w:spacing w:lineRule="atLeast" w:line="21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>
      <w:pPr>
        <w:pStyle w:val="Normal"/>
        <w:tabs>
          <w:tab w:val="clear" w:pos="708"/>
          <w:tab w:val="right" w:pos="4762" w:leader="dot"/>
        </w:tabs>
        <w:spacing w:lineRule="atLeast" w:line="21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 xml:space="preserve"> недопуска Претендента к участию в торгах, непризнания участника торгов победителем торгов.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/>
        <w:ind w:firstLine="709"/>
        <w:jc w:val="both"/>
        <w:textAlignment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>
      <w:pPr>
        <w:pStyle w:val="Normal"/>
        <w:shd w:val="clear" w:color="auto" w:fill="FFFFFF"/>
        <w:spacing w:lineRule="auto" w:line="240"/>
        <w:ind w:firstLine="709"/>
        <w:jc w:val="both"/>
        <w:textAlignment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Mont SemiBold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uiPriority w:val="99"/>
    <w:unhideWhenUsed/>
    <w:rsid w:val="002a6701"/>
    <w:rPr>
      <w:color w:val="0563C1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styleId="Style16" w:customStyle="1">
    <w:name w:val="Посещённая гиперссылка"/>
    <w:basedOn w:val="DefaultParagraphFont"/>
    <w:uiPriority w:val="99"/>
    <w:semiHidden/>
    <w:unhideWhenUsed/>
    <w:rsid w:val="009e53af"/>
    <w:rPr>
      <w:color w:val="954F72" w:themeColor="followedHyperlink"/>
      <w:u w:val="single"/>
    </w:rPr>
  </w:style>
  <w:style w:type="character" w:styleId="Style17" w:customStyle="1">
    <w:name w:val="Абзац списка Знак"/>
    <w:link w:val="ListParagraph"/>
    <w:uiPriority w:val="34"/>
    <w:qFormat/>
    <w:locked/>
    <w:rsid w:val="00233145"/>
    <w:rPr>
      <w:sz w:val="22"/>
      <w:szCs w:val="2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1e9d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2c1e9d"/>
    <w:rPr>
      <w:lang w:eastAsia="en-US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2c1e9d"/>
    <w:rPr>
      <w:b/>
      <w:bCs/>
      <w:lang w:eastAsia="en-US"/>
    </w:rPr>
  </w:style>
  <w:style w:type="character" w:styleId="Tycontrolgroupitem" w:customStyle="1">
    <w:name w:val="ty-control-group__item"/>
    <w:basedOn w:val="DefaultParagraphFont"/>
    <w:qFormat/>
    <w:rsid w:val="0061008b"/>
    <w:rPr/>
  </w:style>
  <w:style w:type="character" w:styleId="Strong">
    <w:name w:val="Strong"/>
    <w:uiPriority w:val="22"/>
    <w:qFormat/>
    <w:rsid w:val="00ce3be5"/>
    <w:rPr>
      <w:b/>
      <w:b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b387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f5ee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ListParagraph">
    <w:name w:val="List Paragraph"/>
    <w:basedOn w:val="Normal"/>
    <w:link w:val="Style17"/>
    <w:uiPriority w:val="34"/>
    <w:qFormat/>
    <w:rsid w:val="00233145"/>
    <w:pPr>
      <w:spacing w:lineRule="auto" w:line="276" w:before="0" w:after="200"/>
      <w:ind w:left="720" w:hanging="0"/>
      <w:contextualSpacing/>
    </w:pPr>
    <w:rPr/>
  </w:style>
  <w:style w:type="paragraph" w:styleId="Style26" w:customStyle="1">
    <w:name w:val="Знак Знак"/>
    <w:basedOn w:val="Normal"/>
    <w:qFormat/>
    <w:rsid w:val="00dc3e0c"/>
    <w:pPr>
      <w:spacing w:lineRule="exact" w:line="240"/>
    </w:pPr>
    <w:rPr>
      <w:rFonts w:ascii="Verdana" w:hAnsi="Verdana" w:eastAsia="MS Mincho" w:cs="Verdana"/>
      <w:sz w:val="20"/>
      <w:szCs w:val="20"/>
      <w:lang w:val="en-GB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2c1e9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2c1e9d"/>
    <w:pPr/>
    <w:rPr>
      <w:b/>
      <w:bCs/>
    </w:rPr>
  </w:style>
  <w:style w:type="paragraph" w:styleId="ConsNonformat" w:customStyle="1">
    <w:name w:val="ConsNonformat"/>
    <w:qFormat/>
    <w:rsid w:val="001c38f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3f3f3f3f3f3f3f3f3f3f3f3f3f3f3f" w:customStyle="1">
    <w:name w:val="П3fа3fр3fа3fм3fе3fт3fр3f т3fе3fх3fн3fи3fк3fи3f"/>
    <w:basedOn w:val="Normal"/>
    <w:uiPriority w:val="99"/>
    <w:qFormat/>
    <w:rsid w:val="004e4630"/>
    <w:pPr>
      <w:spacing w:lineRule="auto" w:line="240" w:before="0" w:after="0"/>
    </w:pPr>
    <w:rPr>
      <w:rFonts w:ascii="Mont SemiBold" w:hAnsi="Mont SemiBold" w:eastAsia="Times New Roman" w:cs="Mont SemiBold"/>
      <w:color w:val="34495E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ce3be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d90c04"/>
    <w:pPr>
      <w:suppressAutoHyphens w:val="false"/>
      <w:spacing w:lineRule="exact" w:line="206" w:before="0" w:after="0"/>
      <w:ind w:left="189" w:hanging="0"/>
    </w:pPr>
    <w:rPr>
      <w:rFonts w:ascii="Arial" w:hAnsi="Arial" w:eastAsia="Calibri" w:cs="Arial" w:eastAsia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rustorg.online/" TargetMode="External"/><Relationship Id="rId4" Type="http://schemas.openxmlformats.org/officeDocument/2006/relationships/hyperlink" Target="mailto:info@alliance-leasing.ru" TargetMode="External"/><Relationship Id="rId5" Type="http://schemas.openxmlformats.org/officeDocument/2006/relationships/hyperlink" Target="https://lot-online.ru/" TargetMode="External"/><Relationship Id="rId6" Type="http://schemas.openxmlformats.org/officeDocument/2006/relationships/hyperlink" Target="http://www.lot-online.ru/" TargetMode="External"/><Relationship Id="rId7" Type="http://schemas.openxmlformats.org/officeDocument/2006/relationships/hyperlink" Target="https://lot-online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0F11-C3A0-487E-89AC-1B2D586D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LibreOffice/7.3.5.2$Windows_X86_64 LibreOffice_project/184fe81b8c8c30d8b5082578aee2fed2ea847c01</Application>
  <AppVersion>15.0000</AppVersion>
  <Pages>13</Pages>
  <Words>4023</Words>
  <Characters>26613</Characters>
  <CharactersWithSpaces>30266</CharactersWithSpaces>
  <Paragraphs>435</Paragraphs>
  <Company>Alliance-Leasing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2024-10-15T13:46:00Z</dcterms:created>
  <dc:creator>Калашникова Мария Владимировна</dc:creator>
  <dc:description/>
  <dc:language>ru-RU</dc:language>
  <cp:lastModifiedBy/>
  <dcterms:modified xsi:type="dcterms:W3CDTF">2024-11-20T11:59:47Z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