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numPr>
          <w:ilvl w:val="0"/>
        </w:numPr>
        <w:spacing w:before="480" w:after="240"/>
        <w:jc w:val="right"/>
        <w:rPr>
          <w:rFonts w:ascii="Times New Roman" w:hAnsi="Times New Roman"/>
          <w:b w:val="false"/>
          <w:sz w:val="24"/>
          <w:szCs w:val="24"/>
        </w:rPr>
      </w:pPr>
      <w:r>
        <w:rPr>
          <w:rFonts w:ascii="Times New Roman" w:hAnsi="Times New Roman"/>
          <w:b w:val="false"/>
          <w:sz w:val="24"/>
          <w:szCs w:val="24"/>
        </w:rPr>
        <w:t>Приложение № 2</w:t>
      </w:r>
    </w:p>
    <w:p>
      <w:pPr>
        <w:pStyle w:val="Normal"/>
        <w:jc w:val="right"/>
        <w:rPr>
          <w:rFonts w:ascii="Times New Roman" w:hAnsi="Times New Roman"/>
          <w:b w:val="false"/>
          <w:sz w:val="24"/>
          <w:szCs w:val="24"/>
        </w:rPr>
      </w:pPr>
      <w:r>
        <w:rPr>
          <w:b w:val="false"/>
          <w:sz w:val="24"/>
          <w:szCs w:val="24"/>
        </w:rPr>
        <w:t>к Документации о продаже имущества</w:t>
      </w:r>
    </w:p>
    <w:p>
      <w:pPr>
        <w:pStyle w:val="Normal"/>
        <w:jc w:val="right"/>
        <w:rPr>
          <w:rFonts w:ascii="Times New Roman" w:hAnsi="Times New Roman"/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  <w:sz w:val="24"/>
          <w:szCs w:val="24"/>
        </w:rPr>
        <w:t>ПРОЕКТ ДОГОВОРА КУПЛИ-ПРОДАЖИ</w:t>
      </w:r>
    </w:p>
    <w:p>
      <w:pPr>
        <w:pStyle w:val="Heading1"/>
        <w:numPr>
          <w:ilvl w:val="0"/>
        </w:numPr>
        <w:rPr>
          <w:rFonts w:ascii="Times New Roman" w:hAnsi="Times New Roman"/>
          <w:sz w:val="28"/>
          <w:szCs w:val="28"/>
        </w:rPr>
      </w:pPr>
      <w:bookmarkStart w:id="0" w:name="_Toc536798431"/>
      <w:bookmarkStart w:id="1" w:name="_Ref324342826"/>
      <w:bookmarkStart w:id="2" w:name="_Ref324342543"/>
      <w:bookmarkStart w:id="3" w:name="_Ref324341734"/>
      <w:bookmarkStart w:id="4" w:name="_Ref324332106"/>
      <w:r>
        <w:rPr>
          <w:rFonts w:ascii="Times New Roman" w:hAnsi="Times New Roman"/>
          <w:sz w:val="28"/>
          <w:szCs w:val="28"/>
        </w:rPr>
        <w:t>ПРОЕКТ ДОГОВОРА</w:t>
      </w:r>
      <w:bookmarkEnd w:id="0"/>
      <w:bookmarkEnd w:id="1"/>
      <w:bookmarkEnd w:id="2"/>
      <w:bookmarkEnd w:id="3"/>
      <w:bookmarkEnd w:id="4"/>
      <w:r>
        <w:rPr>
          <w:rFonts w:ascii="Times New Roman" w:hAnsi="Times New Roman"/>
          <w:sz w:val="28"/>
          <w:szCs w:val="28"/>
        </w:rPr>
        <w:t xml:space="preserve"> КУПЛИ-ПРОДАЖИ</w:t>
      </w:r>
    </w:p>
    <w:p>
      <w:pPr>
        <w:pStyle w:val="Heading2"/>
        <w:keepNext w:val="false"/>
        <w:numPr>
          <w:ilvl w:val="0"/>
          <w:numId w:val="0"/>
        </w:numPr>
        <w:ind w:left="0" w:hanging="0"/>
        <w:rPr>
          <w:b w:val="false"/>
          <w:sz w:val="26"/>
        </w:rPr>
      </w:pPr>
      <w:bookmarkStart w:id="5" w:name="_Toc536798432"/>
      <w:bookmarkStart w:id="6" w:name="_Toc515887606"/>
      <w:bookmarkStart w:id="7" w:name="_Toc515659386"/>
      <w:bookmarkStart w:id="8" w:name="_Toc514814127"/>
      <w:bookmarkStart w:id="9" w:name="_Toc514805482"/>
      <w:r>
        <w:rPr>
          <w:b w:val="false"/>
          <w:sz w:val="26"/>
        </w:rPr>
        <w:t>Пояснения к проекту договора</w:t>
      </w:r>
      <w:bookmarkEnd w:id="5"/>
      <w:bookmarkEnd w:id="6"/>
      <w:bookmarkEnd w:id="7"/>
      <w:bookmarkEnd w:id="8"/>
      <w:bookmarkEnd w:id="9"/>
      <w:r>
        <w:rPr>
          <w:b w:val="false"/>
          <w:sz w:val="26"/>
        </w:rPr>
        <w:t xml:space="preserve"> купли-продажи:</w:t>
      </w:r>
    </w:p>
    <w:p>
      <w:pPr>
        <w:pStyle w:val="Style24"/>
        <w:numPr>
          <w:ilvl w:val="0"/>
          <w:numId w:val="0"/>
        </w:numPr>
        <w:ind w:left="0" w:hanging="0"/>
        <w:rPr/>
      </w:pPr>
      <w:r>
        <w:rPr/>
        <w:t>-</w:t>
        <w:tab/>
        <w:t>Все положения настоящего проекта Договора являются существенными условиями для Продавца;</w:t>
      </w:r>
    </w:p>
    <w:p>
      <w:pPr>
        <w:pStyle w:val="Style24"/>
        <w:numPr>
          <w:ilvl w:val="0"/>
          <w:numId w:val="0"/>
        </w:numPr>
        <w:ind w:left="0" w:hanging="0"/>
        <w:rPr/>
      </w:pPr>
      <w:r>
        <w:rPr/>
        <w:t>-</w:t>
        <w:tab/>
        <w:t>Любые предоставляемые Заявителем / Участником разногласия по условиям настоящего проекта Договора носят статус «желательных», и в случае если Продавец не примет указанные разногласия, Заявитель / Участник будет обязан заключить Договор на условиях исходного проекта Договора.</w:t>
      </w:r>
    </w:p>
    <w:p>
      <w:pPr>
        <w:pStyle w:val="Style24"/>
        <w:numPr>
          <w:ilvl w:val="0"/>
          <w:numId w:val="0"/>
        </w:numPr>
        <w:ind w:left="0" w:hanging="0"/>
        <w:rPr/>
      </w:pPr>
      <w:r>
        <w:rPr/>
        <w:t>-</w:t>
        <w:tab/>
        <w:t>Продавец оставляет за собой право рассмотреть и принять перед подписанием Договора предложения и дополнительные (не носящие принципиального характера) изменения к Договору. В случае если стороны не придут к соглашению об этих изменениях, они будут обязаны подписать Договор на условиях, изложенных в Документации;</w:t>
      </w:r>
    </w:p>
    <w:p>
      <w:pPr>
        <w:pStyle w:val="Style24"/>
        <w:numPr>
          <w:ilvl w:val="0"/>
          <w:numId w:val="0"/>
        </w:numPr>
        <w:ind w:left="0" w:hanging="0"/>
        <w:rPr/>
      </w:pPr>
      <w:r>
        <w:rPr/>
        <w:t>-</w:t>
        <w:tab/>
        <w:t>упоминаемые по тексту «ТМЦ» являются опцией в зависимости от транспортного средства и при их отсутствии у Продавца должны быть исключены из условий Договора.</w:t>
      </w:r>
    </w:p>
    <w:p>
      <w:pPr>
        <w:pStyle w:val="Style24"/>
        <w:numPr>
          <w:ilvl w:val="0"/>
          <w:numId w:val="0"/>
        </w:numPr>
        <w:ind w:left="0" w:hanging="0"/>
        <w:rPr/>
      </w:pPr>
      <w:r>
        <w:rPr/>
      </w:r>
    </w:p>
    <w:p>
      <w:pPr>
        <w:pStyle w:val="Normal"/>
        <w:spacing w:lineRule="auto" w:line="360" w:before="0"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(ПРОЕКТ)</w:t>
      </w:r>
    </w:p>
    <w:p>
      <w:pPr>
        <w:pStyle w:val="Normal"/>
        <w:spacing w:before="0"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Договор №_____</w:t>
      </w:r>
    </w:p>
    <w:p>
      <w:pPr>
        <w:pStyle w:val="Normal"/>
        <w:spacing w:before="0"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купли-продажи </w:t>
      </w:r>
    </w:p>
    <w:p>
      <w:pPr>
        <w:pStyle w:val="Normal"/>
        <w:spacing w:before="0" w:after="0"/>
        <w:ind w:firstLine="54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г.Якутск          </w:t>
        <w:tab/>
        <w:tab/>
        <w:tab/>
        <w:t xml:space="preserve">                                                «____» ___________ 20__ г.</w:t>
      </w:r>
    </w:p>
    <w:p>
      <w:pPr>
        <w:pStyle w:val="Normal"/>
        <w:spacing w:before="0" w:after="0"/>
        <w:ind w:firstLine="54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0"/>
        <w:ind w:firstLine="540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</w:t>
      </w:r>
      <w:r>
        <w:rPr>
          <w:sz w:val="22"/>
          <w:szCs w:val="22"/>
        </w:rPr>
        <w:t>, место нахождения: ___________________________________________________________, именуемое в дальнейшем «Продавец», в лице __________________, действующего на основании _________________________, с одной стороны и</w:t>
      </w:r>
      <w:r>
        <w:rPr>
          <w:b/>
          <w:sz w:val="22"/>
          <w:szCs w:val="22"/>
        </w:rPr>
        <w:t>__________________________________________</w:t>
      </w:r>
      <w:r>
        <w:rPr>
          <w:sz w:val="22"/>
          <w:szCs w:val="22"/>
        </w:rPr>
        <w:t>, место нахождения: ____________________________, именуемое в дальнейшем «Покупатель», в лице _______________________, действующего на основании _______, с другой стороны,</w:t>
      </w:r>
    </w:p>
    <w:p>
      <w:pPr>
        <w:pStyle w:val="Normal"/>
        <w:spacing w:before="0" w:after="0"/>
        <w:ind w:firstLine="540"/>
        <w:rPr>
          <w:sz w:val="22"/>
          <w:szCs w:val="22"/>
        </w:rPr>
      </w:pPr>
      <w:r>
        <w:rPr>
          <w:sz w:val="22"/>
          <w:szCs w:val="22"/>
        </w:rPr>
        <w:t>а вместе именуемые «Стороны», заключили настоящий договор (далее по тексту – «Договор») о нижеследующем:</w:t>
      </w:r>
    </w:p>
    <w:p>
      <w:pPr>
        <w:pStyle w:val="Normal"/>
        <w:spacing w:before="0" w:after="0"/>
        <w:ind w:firstLine="54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numPr>
          <w:ilvl w:val="0"/>
          <w:numId w:val="11"/>
        </w:numPr>
        <w:spacing w:lineRule="auto" w:line="259" w:before="0" w:after="160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>
      <w:pPr>
        <w:pStyle w:val="Normal"/>
        <w:spacing w:before="0" w:after="0"/>
        <w:ind w:firstLine="540"/>
        <w:rPr>
          <w:sz w:val="22"/>
          <w:szCs w:val="22"/>
        </w:rPr>
      </w:pPr>
      <w:r>
        <w:rPr>
          <w:sz w:val="22"/>
          <w:szCs w:val="22"/>
        </w:rPr>
        <w:t>1.1. Продавец обязуется передать в собственность, а Покупатель - принять и оплатить в соответствии с условиями настоящего Договора транспортное средство, включая установленное на нем дополнительное оборудование, указанное в Приложении № 1 к настоящему Договору (далее по тексту – «Имущество»).</w:t>
      </w:r>
    </w:p>
    <w:p>
      <w:pPr>
        <w:pStyle w:val="Normal"/>
        <w:spacing w:before="0" w:after="0"/>
        <w:ind w:firstLine="540"/>
        <w:rPr>
          <w:sz w:val="22"/>
          <w:szCs w:val="22"/>
        </w:rPr>
      </w:pPr>
      <w:r>
        <w:rPr>
          <w:sz w:val="22"/>
          <w:szCs w:val="22"/>
        </w:rPr>
        <w:t xml:space="preserve">1.2. Продавец гарантирует, что на момент подписания Договора Имущество принадлежит ему на праве собственности, не отчуждено третьим лицам. </w:t>
      </w:r>
    </w:p>
    <w:p>
      <w:pPr>
        <w:pStyle w:val="Normal"/>
        <w:spacing w:before="0" w:after="0"/>
        <w:ind w:firstLine="540"/>
        <w:rPr>
          <w:sz w:val="22"/>
          <w:szCs w:val="22"/>
        </w:rPr>
      </w:pPr>
      <w:r>
        <w:rPr>
          <w:sz w:val="22"/>
          <w:szCs w:val="22"/>
        </w:rPr>
        <w:t>1.3. Покупатель подтверждает, что техническое состояние Имущества и его комплектность на момент подписания настоящего Договора ему известны. Каких-либо претензий к техническому состоянию и комплектности Имущества Покупатель не имеет.</w:t>
      </w:r>
    </w:p>
    <w:p>
      <w:pPr>
        <w:pStyle w:val="Normal"/>
        <w:spacing w:before="0" w:after="0"/>
        <w:ind w:firstLine="54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0"/>
        <w:ind w:firstLine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Стоимость имущества и порядок расчетов</w:t>
      </w:r>
    </w:p>
    <w:p>
      <w:pPr>
        <w:pStyle w:val="Normal"/>
        <w:spacing w:before="0" w:after="0"/>
        <w:ind w:firstLine="540"/>
        <w:rPr>
          <w:sz w:val="22"/>
          <w:szCs w:val="22"/>
        </w:rPr>
      </w:pPr>
      <w:r>
        <w:rPr>
          <w:sz w:val="22"/>
          <w:szCs w:val="22"/>
        </w:rPr>
        <w:t>2.1 Общая стоимость Имущества (далее – Цена Договора) составляет _______ (__________) рубля __ копеек, в том числе НДС 20% - _____ (_________) рубля __ копеек.</w:t>
      </w:r>
    </w:p>
    <w:p>
      <w:pPr>
        <w:pStyle w:val="Normal"/>
        <w:spacing w:before="0" w:after="0"/>
        <w:ind w:firstLine="540"/>
        <w:rPr>
          <w:sz w:val="22"/>
          <w:szCs w:val="22"/>
        </w:rPr>
      </w:pPr>
      <w:r>
        <w:rPr>
          <w:sz w:val="22"/>
          <w:szCs w:val="22"/>
        </w:rPr>
        <w:t>2.2. В Цену Договора включены, в том числе, все налоги, сборы и пошлины, иные расходы, связанные с исполнением обязательств по Договору.</w:t>
      </w:r>
    </w:p>
    <w:p>
      <w:pPr>
        <w:pStyle w:val="Normal"/>
        <w:spacing w:before="0" w:after="0"/>
        <w:ind w:firstLine="540"/>
        <w:rPr>
          <w:sz w:val="22"/>
          <w:szCs w:val="22"/>
        </w:rPr>
      </w:pPr>
      <w:r>
        <w:rPr>
          <w:sz w:val="22"/>
          <w:szCs w:val="22"/>
        </w:rPr>
        <w:t>2.3. Стоимость Имущества является фиксированной и не подлежит изменению.</w:t>
      </w:r>
    </w:p>
    <w:p>
      <w:pPr>
        <w:pStyle w:val="Normal"/>
        <w:spacing w:before="0" w:after="0"/>
        <w:ind w:firstLine="540"/>
        <w:rPr>
          <w:sz w:val="22"/>
          <w:szCs w:val="22"/>
        </w:rPr>
      </w:pPr>
      <w:r>
        <w:rPr>
          <w:sz w:val="22"/>
          <w:szCs w:val="22"/>
        </w:rPr>
        <w:t>2.4. Стоимость Имущества определяется в Перечне имущества (Приложение №1).</w:t>
      </w:r>
    </w:p>
    <w:p>
      <w:pPr>
        <w:pStyle w:val="Normal"/>
        <w:spacing w:before="0" w:after="0"/>
        <w:ind w:firstLine="540"/>
        <w:rPr>
          <w:sz w:val="22"/>
          <w:szCs w:val="22"/>
        </w:rPr>
      </w:pPr>
      <w:r>
        <w:rPr>
          <w:sz w:val="22"/>
          <w:szCs w:val="22"/>
        </w:rPr>
        <w:t>2.5. Оплата по договору производится Покупателем на условиях 100% предоплаты в течение 10 банковских дней с даты подписания Договора и получения Покупателем счета, выставленного Продавцом.</w:t>
      </w:r>
    </w:p>
    <w:p>
      <w:pPr>
        <w:pStyle w:val="Normal"/>
        <w:spacing w:before="0" w:after="0"/>
        <w:ind w:firstLine="540"/>
        <w:rPr>
          <w:sz w:val="22"/>
          <w:szCs w:val="22"/>
        </w:rPr>
      </w:pPr>
      <w:r>
        <w:rPr>
          <w:sz w:val="22"/>
          <w:szCs w:val="22"/>
        </w:rPr>
        <w:t>2.6 В течение 2-х рабочих дней с момента поступления денежных средств расчетный счет Продавца, Сторонами подписывается Акт приема-передачи объекта основного средств (унифицированная форма ОС-1, ОС-1б) на поставленную Продукцию на основании счета, выставленного Продавцом.</w:t>
      </w:r>
    </w:p>
    <w:p>
      <w:pPr>
        <w:pStyle w:val="Normal"/>
        <w:spacing w:before="0" w:after="0"/>
        <w:ind w:firstLine="540"/>
        <w:rPr>
          <w:sz w:val="22"/>
          <w:szCs w:val="22"/>
        </w:rPr>
      </w:pPr>
      <w:r>
        <w:rPr>
          <w:sz w:val="22"/>
          <w:szCs w:val="22"/>
        </w:rPr>
        <w:t xml:space="preserve">2.7. Расчеты производятся путем перечисления денежных средств на расчетный счет Продавца, указанный в Договоре или в счете Продавца. Датой платежа считается дата поступления денежных средств на расчетный счет Продавца. </w:t>
      </w:r>
    </w:p>
    <w:p>
      <w:pPr>
        <w:pStyle w:val="Normal"/>
        <w:spacing w:before="0" w:after="0"/>
        <w:ind w:firstLine="540"/>
        <w:rPr>
          <w:sz w:val="22"/>
          <w:szCs w:val="22"/>
        </w:rPr>
      </w:pPr>
      <w:r>
        <w:rPr>
          <w:sz w:val="22"/>
          <w:szCs w:val="22"/>
        </w:rPr>
        <w:t>2.8. Расчеты осуществляются в валюте Российской Федерации.</w:t>
      </w:r>
    </w:p>
    <w:p>
      <w:pPr>
        <w:pStyle w:val="Normal"/>
        <w:spacing w:before="0" w:after="0"/>
        <w:ind w:firstLine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before="0" w:after="0"/>
        <w:ind w:firstLine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 Передача Имущества.</w:t>
      </w:r>
    </w:p>
    <w:p>
      <w:pPr>
        <w:pStyle w:val="Normal"/>
        <w:spacing w:before="0" w:after="0"/>
        <w:ind w:firstLine="540"/>
        <w:rPr>
          <w:sz w:val="22"/>
          <w:szCs w:val="22"/>
        </w:rPr>
      </w:pPr>
      <w:r>
        <w:rPr>
          <w:sz w:val="22"/>
          <w:szCs w:val="22"/>
        </w:rPr>
        <w:t xml:space="preserve">3.1. Имущество передается Покупателю Продавцом по Акту приема-передачи Имущества (Приложения №2 к Договору) подписанному уполномоченными представителями Сторон. </w:t>
      </w:r>
    </w:p>
    <w:p>
      <w:pPr>
        <w:pStyle w:val="Normal"/>
        <w:spacing w:before="0" w:after="0"/>
        <w:ind w:firstLine="540"/>
        <w:rPr>
          <w:sz w:val="22"/>
          <w:szCs w:val="22"/>
        </w:rPr>
      </w:pPr>
      <w:r>
        <w:rPr>
          <w:sz w:val="22"/>
          <w:szCs w:val="22"/>
        </w:rPr>
        <w:t>3.2. Имущество передается Продавцом Покупателю в месте его фактического нахождения. Все расходы по транспортировке Имущества Покупатель несет самостоятельно.</w:t>
      </w:r>
    </w:p>
    <w:p>
      <w:pPr>
        <w:pStyle w:val="Normal"/>
        <w:spacing w:before="0" w:after="0"/>
        <w:ind w:firstLine="540"/>
        <w:rPr>
          <w:sz w:val="22"/>
          <w:szCs w:val="22"/>
        </w:rPr>
      </w:pPr>
      <w:r>
        <w:rPr>
          <w:sz w:val="22"/>
          <w:szCs w:val="22"/>
        </w:rPr>
        <w:t>3.3. Обязательство Продавца по передаче Покупателю Имущества считается исполненным с момента подписания Сторонами Акта приема-передачи Имущества, подтверждающему фактическую передачу Имущества.</w:t>
      </w:r>
    </w:p>
    <w:p>
      <w:pPr>
        <w:pStyle w:val="Normal"/>
        <w:spacing w:before="0" w:after="0"/>
        <w:ind w:firstLine="540"/>
        <w:rPr>
          <w:sz w:val="22"/>
          <w:szCs w:val="22"/>
        </w:rPr>
      </w:pPr>
      <w:r>
        <w:rPr>
          <w:sz w:val="22"/>
          <w:szCs w:val="22"/>
        </w:rPr>
        <w:t>3.4. Право собственности на Имущество, а также риски утраты (в т.ч. в результате хищения), полного и/или частично повреждения Имущества переходят от Продавца к Покупателю с момента фактической передачи и подписания Сторонами Акта приема-передачи Имущества.</w:t>
      </w:r>
    </w:p>
    <w:p>
      <w:pPr>
        <w:pStyle w:val="Normal"/>
        <w:spacing w:before="0" w:after="0"/>
        <w:ind w:firstLine="540"/>
        <w:rPr>
          <w:sz w:val="22"/>
          <w:szCs w:val="22"/>
        </w:rPr>
      </w:pPr>
      <w:r>
        <w:rPr>
          <w:sz w:val="22"/>
          <w:szCs w:val="22"/>
        </w:rPr>
        <w:t>3.5. Продавец обязуется в момент подписания Сторонами Акта приема-передачи имущества предоставить Покупателю документы, необходимые для государственной регистрации Имущества в соответствии с требованиями Законодательства Российской Федерации (паспорт транспортного средства, диагностическую карту технического осмотра и т.д.).</w:t>
      </w:r>
    </w:p>
    <w:p>
      <w:pPr>
        <w:pStyle w:val="Normal"/>
        <w:spacing w:before="0" w:after="0"/>
        <w:ind w:firstLine="54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0"/>
        <w:ind w:firstLine="540"/>
        <w:jc w:val="center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4.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Ответственность Сторон.</w:t>
      </w:r>
    </w:p>
    <w:p>
      <w:pPr>
        <w:pStyle w:val="Normal"/>
        <w:spacing w:before="0" w:after="0"/>
        <w:ind w:firstLine="540"/>
        <w:rPr>
          <w:sz w:val="22"/>
          <w:szCs w:val="22"/>
        </w:rPr>
      </w:pPr>
      <w:r>
        <w:rPr>
          <w:sz w:val="22"/>
          <w:szCs w:val="22"/>
        </w:rPr>
        <w:t>4.1. В случае нарушения Покупателем обязательств по внесению предварительной оплаты Продавец вправе потребовать уплаты Покупателем неустойки в размере 0,1 % от цены договора за каждый день просрочки.</w:t>
      </w:r>
    </w:p>
    <w:p>
      <w:pPr>
        <w:pStyle w:val="Normal"/>
        <w:spacing w:before="0" w:after="0"/>
        <w:ind w:firstLine="540"/>
        <w:rPr>
          <w:sz w:val="22"/>
          <w:szCs w:val="22"/>
        </w:rPr>
      </w:pPr>
      <w:r>
        <w:rPr>
          <w:sz w:val="22"/>
          <w:szCs w:val="22"/>
        </w:rPr>
        <w:t xml:space="preserve">4.2. В случае нарушения Продавцом обязательств по поставке Имущества на срок свыше 30 календарных дней, Покупатель имеет право отказаться от исполнения Договора в одностороннем внесудебном порядке, а также потребовать возмещения убытков. </w:t>
      </w:r>
    </w:p>
    <w:p>
      <w:pPr>
        <w:pStyle w:val="Normal"/>
        <w:spacing w:before="0" w:after="0"/>
        <w:ind w:firstLine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before="0" w:after="0"/>
        <w:ind w:firstLine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 Форс-мажор (действие обстоятельств непреодолимой силы).</w:t>
      </w:r>
    </w:p>
    <w:p>
      <w:pPr>
        <w:pStyle w:val="Normal"/>
        <w:spacing w:before="0" w:after="0"/>
        <w:ind w:firstLine="540"/>
        <w:rPr>
          <w:sz w:val="22"/>
          <w:szCs w:val="22"/>
        </w:rPr>
      </w:pPr>
      <w:r>
        <w:rPr>
          <w:sz w:val="22"/>
          <w:szCs w:val="22"/>
        </w:rPr>
        <w:t>5.1. Стороны освобождаются от ответственности за частичное или полное неисполнение обязательств по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мерами, а именно: стихийные бедствия, пожары, наводнения, землетрясения, военные действия, забастовки, гражданские беспорядки, изменения в законодательстве Российской Федерации, а также принятие обязательных к исполнению нормативных актов, препятствующих одной из Сторон исполнить свои обязательства по Договору.</w:t>
      </w:r>
    </w:p>
    <w:p>
      <w:pPr>
        <w:pStyle w:val="Normal"/>
        <w:spacing w:before="0" w:after="0"/>
        <w:ind w:firstLine="540"/>
        <w:rPr>
          <w:sz w:val="22"/>
          <w:szCs w:val="22"/>
        </w:rPr>
      </w:pPr>
      <w:r>
        <w:rPr>
          <w:sz w:val="22"/>
          <w:szCs w:val="22"/>
        </w:rPr>
        <w:t>5.2. Сторона имеет право ссылаться на обстоятельства, упомянутые в п. 5.1 Договора, только в случае, если такие обстоятельства непосредственно повлияли на возможность исполнения этой Стороной условий Договора.</w:t>
      </w:r>
    </w:p>
    <w:p>
      <w:pPr>
        <w:pStyle w:val="Normal"/>
        <w:spacing w:before="0" w:after="0"/>
        <w:ind w:firstLine="540"/>
        <w:rPr>
          <w:sz w:val="22"/>
          <w:szCs w:val="22"/>
        </w:rPr>
      </w:pPr>
      <w:r>
        <w:rPr>
          <w:sz w:val="22"/>
          <w:szCs w:val="22"/>
        </w:rPr>
        <w:t>5.3. Сторона, для которой наступили обстоятельства невозможности исполнения своих обязательств по Договору, должна письменно известить другую Сторону о наступлении и планируемом прекращении вышеуказанных обстоятельств, но не позднее 3 (Трех) календарных дней с даты их возникновения.</w:t>
      </w:r>
    </w:p>
    <w:p>
      <w:pPr>
        <w:pStyle w:val="Normal"/>
        <w:spacing w:before="0" w:after="0"/>
        <w:ind w:firstLine="540"/>
        <w:rPr>
          <w:sz w:val="22"/>
          <w:szCs w:val="22"/>
        </w:rPr>
      </w:pPr>
      <w:r>
        <w:rPr>
          <w:sz w:val="22"/>
          <w:szCs w:val="22"/>
        </w:rPr>
        <w:t>5.4. Извещение об обстоятельствах форс-мажора, не сделанное в течение указанного срока, лишает соответствующую Сторону права в дальнейшем ссылаться на эти обстоятельства как на основание, освобождающее от ответственности за неисполнение либо ненадлежащее исполнение обязательств по Договору.</w:t>
      </w:r>
    </w:p>
    <w:p>
      <w:pPr>
        <w:pStyle w:val="Normal"/>
        <w:spacing w:before="0" w:after="0"/>
        <w:ind w:firstLine="540"/>
        <w:rPr>
          <w:sz w:val="22"/>
          <w:szCs w:val="22"/>
        </w:rPr>
      </w:pPr>
      <w:r>
        <w:rPr>
          <w:sz w:val="22"/>
          <w:szCs w:val="22"/>
        </w:rPr>
        <w:t>5.5. Письменное уведомление Торгово-промышленной палаты является достаточным подтверждением действия и длительности форс-мажорных обстоятельств.</w:t>
      </w:r>
    </w:p>
    <w:p>
      <w:pPr>
        <w:pStyle w:val="Normal"/>
        <w:spacing w:before="0" w:after="0"/>
        <w:ind w:firstLine="540"/>
        <w:rPr>
          <w:sz w:val="22"/>
          <w:szCs w:val="22"/>
        </w:rPr>
      </w:pPr>
      <w:r>
        <w:rPr>
          <w:sz w:val="22"/>
          <w:szCs w:val="22"/>
        </w:rPr>
        <w:t>5.6. В случае если форс-мажорные обстоятельства и их последствия продолжают действовать более 30 (тридцати) календарных дней, или когда при наступлении таких обстоятельств становится ясно, что их последствия будут действовать более этого срока, стороны в возможно короткий срок проведут переговоры с целью выявления приемлемых для обеих Сторон альтернативных способов исполнения Договора.</w:t>
      </w:r>
    </w:p>
    <w:p>
      <w:pPr>
        <w:pStyle w:val="Normal"/>
        <w:spacing w:before="0" w:after="0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spacing w:before="0" w:after="0"/>
        <w:ind w:firstLine="5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6. Срок действия Договора и основания расторжения.</w:t>
      </w:r>
    </w:p>
    <w:p>
      <w:pPr>
        <w:pStyle w:val="Normal"/>
        <w:spacing w:before="0" w:after="0"/>
        <w:ind w:firstLine="540"/>
        <w:rPr>
          <w:sz w:val="22"/>
          <w:szCs w:val="22"/>
        </w:rPr>
      </w:pPr>
      <w:r>
        <w:rPr>
          <w:sz w:val="22"/>
          <w:szCs w:val="22"/>
        </w:rPr>
        <w:t>6.1. Настоящий Договор вступает в силу с момента его подписания Сторонами и действует до полного выполнения Сторонами всех обязательств по нему.</w:t>
      </w:r>
    </w:p>
    <w:p>
      <w:pPr>
        <w:pStyle w:val="Normal"/>
        <w:spacing w:before="0" w:after="0"/>
        <w:ind w:firstLine="54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0"/>
        <w:ind w:firstLine="540"/>
        <w:jc w:val="center"/>
        <w:rPr>
          <w:sz w:val="22"/>
          <w:szCs w:val="22"/>
        </w:rPr>
      </w:pPr>
      <w:r>
        <w:rPr>
          <w:b/>
          <w:sz w:val="22"/>
          <w:szCs w:val="22"/>
        </w:rPr>
        <w:t>7.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Порядок разрешения споров.</w:t>
      </w:r>
      <w:r>
        <w:rPr>
          <w:sz w:val="22"/>
          <w:szCs w:val="22"/>
        </w:rPr>
        <w:t xml:space="preserve"> </w:t>
      </w:r>
    </w:p>
    <w:p>
      <w:pPr>
        <w:pStyle w:val="Normal"/>
        <w:spacing w:before="0" w:after="0"/>
        <w:ind w:firstLine="540"/>
        <w:rPr>
          <w:sz w:val="22"/>
          <w:szCs w:val="22"/>
        </w:rPr>
      </w:pPr>
      <w:r>
        <w:rPr>
          <w:sz w:val="22"/>
          <w:szCs w:val="22"/>
        </w:rPr>
        <w:t>7.1. Все споры, разногласия и требования, возникающие при исполнении настоящего Договора или в связи с ним, в том числе связанные с его заключением, изменением, исполнением, нарушением, расторжением, прекращением и действительностью, подлежат разрешению в Арбитражном суде _________________.</w:t>
      </w:r>
    </w:p>
    <w:p>
      <w:pPr>
        <w:pStyle w:val="Normal"/>
        <w:spacing w:before="0" w:after="0"/>
        <w:ind w:firstLine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before="0" w:after="0"/>
        <w:ind w:firstLine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8. Прочие условия.</w:t>
      </w:r>
    </w:p>
    <w:p>
      <w:pPr>
        <w:pStyle w:val="Normal"/>
        <w:spacing w:before="0" w:after="0"/>
        <w:ind w:firstLine="540"/>
        <w:rPr>
          <w:sz w:val="22"/>
          <w:szCs w:val="22"/>
        </w:rPr>
      </w:pPr>
      <w:r>
        <w:rPr>
          <w:sz w:val="22"/>
          <w:szCs w:val="22"/>
        </w:rPr>
        <w:t xml:space="preserve">8.1. Все приложения, изменения и дополнения к Договору действительны при условии, что они совершены в письменной форме в виде единого документа и подписаны обеими Сторонами, за исключением изменений, предусмотренных п. 8.5 Договора. </w:t>
      </w:r>
    </w:p>
    <w:p>
      <w:pPr>
        <w:pStyle w:val="Normal"/>
        <w:spacing w:before="0" w:after="0"/>
        <w:ind w:firstLine="540"/>
        <w:rPr>
          <w:sz w:val="22"/>
          <w:szCs w:val="22"/>
        </w:rPr>
      </w:pPr>
      <w:r>
        <w:rPr>
          <w:sz w:val="22"/>
          <w:szCs w:val="22"/>
        </w:rPr>
        <w:t xml:space="preserve">8.2. Настоящий Договор составлен в 3 (Трех) экземплярах, имеющих равную юридическую силу, по одному экземпляру для каждой из Сторон и 1 (Один) экземпляр для органа, осуществляющего государственную регистрацию Имущества. </w:t>
      </w:r>
    </w:p>
    <w:p>
      <w:pPr>
        <w:pStyle w:val="Normal"/>
        <w:spacing w:before="0" w:after="0"/>
        <w:ind w:firstLine="540"/>
        <w:rPr>
          <w:sz w:val="22"/>
          <w:szCs w:val="22"/>
        </w:rPr>
      </w:pPr>
      <w:r>
        <w:rPr>
          <w:sz w:val="22"/>
          <w:szCs w:val="22"/>
        </w:rPr>
        <w:t>8.3. Во всем остальном, что не предусмотрено настоящим Договором, Стороны руководствуются законодательством Российской Федерации.</w:t>
      </w:r>
    </w:p>
    <w:p>
      <w:pPr>
        <w:pStyle w:val="Normal"/>
        <w:spacing w:before="0" w:after="0"/>
        <w:ind w:firstLine="540"/>
        <w:rPr>
          <w:sz w:val="22"/>
          <w:szCs w:val="22"/>
        </w:rPr>
      </w:pPr>
      <w:r>
        <w:rPr>
          <w:sz w:val="22"/>
          <w:szCs w:val="22"/>
        </w:rPr>
        <w:t>8.4. Обмен сведениями между Сторонами по любым вопросам, связанным с Договором, включая уведомления и иные сообщения, может осуществляться только в письменной форме. Использование средств факсимильной или электронной связи не допускается, за исключением случаев обмена оперативной информацией, который не влечет возникновения, изменения либо прекращения гражданских прав и обязательств.</w:t>
      </w:r>
    </w:p>
    <w:p>
      <w:pPr>
        <w:pStyle w:val="Normal"/>
        <w:spacing w:before="0" w:after="0"/>
        <w:ind w:firstLine="540"/>
        <w:rPr>
          <w:sz w:val="22"/>
          <w:szCs w:val="22"/>
        </w:rPr>
      </w:pPr>
      <w:r>
        <w:rPr>
          <w:sz w:val="22"/>
          <w:szCs w:val="22"/>
        </w:rPr>
        <w:t xml:space="preserve">8.5. Документы и информация должны направляться Сторонами друг другу по следующим адресам: </w:t>
      </w:r>
    </w:p>
    <w:p>
      <w:pPr>
        <w:pStyle w:val="Normal"/>
        <w:shd w:val="clear" w:color="auto" w:fill="FFFFFF"/>
        <w:tabs>
          <w:tab w:val="clear" w:pos="567"/>
          <w:tab w:val="left" w:pos="1418" w:leader="none"/>
        </w:tabs>
        <w:spacing w:before="0" w:after="0"/>
        <w:ind w:left="567" w:hanging="0"/>
        <w:contextualSpacing/>
        <w:rPr>
          <w:sz w:val="22"/>
          <w:szCs w:val="22"/>
        </w:rPr>
      </w:pPr>
      <w:r>
        <w:rPr>
          <w:bCs/>
          <w:sz w:val="22"/>
          <w:szCs w:val="22"/>
        </w:rPr>
        <w:t>8.5.1.</w:t>
      </w:r>
      <w:r>
        <w:rPr>
          <w:b/>
          <w:bCs/>
          <w:sz w:val="22"/>
          <w:szCs w:val="22"/>
        </w:rPr>
        <w:t xml:space="preserve"> ПРОДАВЕЦ:</w:t>
      </w:r>
    </w:p>
    <w:p>
      <w:pPr>
        <w:pStyle w:val="Normal"/>
        <w:tabs>
          <w:tab w:val="clear" w:pos="567"/>
          <w:tab w:val="left" w:pos="259" w:leader="none"/>
        </w:tabs>
        <w:spacing w:before="0" w:after="0"/>
        <w:jc w:val="left"/>
        <w:rPr>
          <w:bCs/>
          <w:color w:val="000000"/>
          <w:spacing w:val="-3"/>
          <w:sz w:val="22"/>
          <w:szCs w:val="22"/>
        </w:rPr>
      </w:pPr>
      <w:r>
        <w:rPr>
          <w:b/>
          <w:bCs/>
          <w:color w:val="000000"/>
          <w:spacing w:val="-3"/>
          <w:sz w:val="22"/>
          <w:szCs w:val="22"/>
        </w:rPr>
        <w:t xml:space="preserve"> </w:t>
      </w:r>
      <w:r>
        <w:rPr>
          <w:b/>
          <w:bCs/>
          <w:color w:val="000000"/>
          <w:spacing w:val="-3"/>
          <w:sz w:val="22"/>
          <w:szCs w:val="22"/>
        </w:rPr>
        <w:tab/>
        <w:t xml:space="preserve">     Место нахождения</w:t>
      </w:r>
      <w:r>
        <w:rPr>
          <w:bCs/>
          <w:color w:val="000000"/>
          <w:spacing w:val="-3"/>
          <w:sz w:val="22"/>
          <w:szCs w:val="22"/>
        </w:rPr>
        <w:t xml:space="preserve">: ___________________________________________________ </w:t>
      </w:r>
    </w:p>
    <w:p>
      <w:pPr>
        <w:pStyle w:val="Normal"/>
        <w:tabs>
          <w:tab w:val="left" w:pos="567" w:leader="none"/>
        </w:tabs>
        <w:spacing w:before="0" w:after="0"/>
        <w:jc w:val="left"/>
        <w:rPr>
          <w:bCs/>
          <w:color w:val="000000"/>
          <w:spacing w:val="-3"/>
          <w:sz w:val="22"/>
          <w:szCs w:val="22"/>
          <w:highlight w:val="yellow"/>
        </w:rPr>
      </w:pPr>
      <w:r>
        <w:rPr>
          <w:b/>
          <w:bCs/>
          <w:color w:val="000000"/>
          <w:spacing w:val="-3"/>
          <w:sz w:val="22"/>
          <w:szCs w:val="22"/>
        </w:rPr>
        <w:tab/>
        <w:t>Почтовый адрес:</w:t>
      </w:r>
      <w:r>
        <w:rPr>
          <w:bCs/>
          <w:color w:val="000000"/>
          <w:spacing w:val="-3"/>
          <w:sz w:val="22"/>
          <w:szCs w:val="22"/>
        </w:rPr>
        <w:t xml:space="preserve"> _____________________________________________________</w:t>
      </w:r>
    </w:p>
    <w:p>
      <w:pPr>
        <w:pStyle w:val="Normal"/>
        <w:shd w:val="clear" w:color="auto" w:fill="FFFFFF"/>
        <w:tabs>
          <w:tab w:val="clear" w:pos="567"/>
          <w:tab w:val="left" w:pos="1418" w:leader="none"/>
        </w:tabs>
        <w:spacing w:before="0" w:after="0"/>
        <w:ind w:left="567" w:hanging="0"/>
        <w:contextualSpacing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8.5.2.</w:t>
      </w:r>
      <w:r>
        <w:rPr>
          <w:b/>
          <w:bCs/>
          <w:sz w:val="22"/>
          <w:szCs w:val="22"/>
        </w:rPr>
        <w:t xml:space="preserve"> ПОКУПАТЕЛЬ:</w:t>
      </w:r>
    </w:p>
    <w:p>
      <w:pPr>
        <w:pStyle w:val="Normal"/>
        <w:shd w:val="clear" w:color="auto" w:fill="FFFFFF"/>
        <w:tabs>
          <w:tab w:val="clear" w:pos="567"/>
          <w:tab w:val="left" w:pos="1418" w:leader="none"/>
        </w:tabs>
        <w:spacing w:before="0" w:after="0"/>
        <w:ind w:left="567" w:hanging="0"/>
        <w:contextualSpacing/>
        <w:rPr>
          <w:b/>
          <w:bCs/>
          <w:color w:val="000000"/>
          <w:spacing w:val="-3"/>
          <w:sz w:val="22"/>
          <w:szCs w:val="22"/>
        </w:rPr>
      </w:pPr>
      <w:r>
        <w:rPr>
          <w:b/>
          <w:bCs/>
          <w:color w:val="000000"/>
          <w:spacing w:val="-3"/>
          <w:sz w:val="22"/>
          <w:szCs w:val="22"/>
        </w:rPr>
        <w:t xml:space="preserve">Место нахождения </w:t>
      </w:r>
    </w:p>
    <w:p>
      <w:pPr>
        <w:pStyle w:val="Normal"/>
        <w:shd w:val="clear" w:color="auto" w:fill="FFFFFF"/>
        <w:tabs>
          <w:tab w:val="clear" w:pos="567"/>
          <w:tab w:val="left" w:pos="1418" w:leader="none"/>
        </w:tabs>
        <w:spacing w:before="0" w:after="0"/>
        <w:ind w:left="567" w:hanging="0"/>
        <w:contextualSpacing/>
        <w:rPr>
          <w:bCs/>
          <w:color w:val="000000"/>
          <w:spacing w:val="-3"/>
          <w:sz w:val="22"/>
          <w:szCs w:val="22"/>
        </w:rPr>
      </w:pPr>
      <w:r>
        <w:rPr>
          <w:b/>
          <w:bCs/>
          <w:color w:val="000000"/>
          <w:spacing w:val="-3"/>
          <w:sz w:val="22"/>
          <w:szCs w:val="22"/>
        </w:rPr>
        <w:t>(адрес регистрации/места жительства):</w:t>
      </w:r>
      <w:r>
        <w:rPr>
          <w:bCs/>
          <w:color w:val="000000"/>
          <w:spacing w:val="-3"/>
          <w:sz w:val="22"/>
          <w:szCs w:val="22"/>
        </w:rPr>
        <w:t xml:space="preserve"> ___________________________________________________ </w:t>
      </w:r>
    </w:p>
    <w:p>
      <w:pPr>
        <w:pStyle w:val="Normal"/>
        <w:shd w:val="clear" w:color="auto" w:fill="FFFFFF"/>
        <w:spacing w:before="0" w:after="0"/>
        <w:ind w:left="-30" w:firstLine="597"/>
        <w:jc w:val="left"/>
        <w:rPr>
          <w:bCs/>
          <w:color w:val="000000"/>
          <w:spacing w:val="-3"/>
          <w:sz w:val="22"/>
          <w:szCs w:val="22"/>
        </w:rPr>
      </w:pPr>
      <w:r>
        <w:rPr>
          <w:b/>
          <w:bCs/>
          <w:color w:val="000000"/>
          <w:spacing w:val="-3"/>
          <w:sz w:val="22"/>
          <w:szCs w:val="22"/>
        </w:rPr>
        <w:t>Почтовый адрес</w:t>
      </w:r>
      <w:r>
        <w:rPr>
          <w:bCs/>
          <w:color w:val="000000"/>
          <w:spacing w:val="-3"/>
          <w:sz w:val="22"/>
          <w:szCs w:val="22"/>
        </w:rPr>
        <w:t>: _____________________________________________________</w:t>
      </w:r>
    </w:p>
    <w:p>
      <w:pPr>
        <w:pStyle w:val="Normal"/>
        <w:shd w:val="clear" w:color="auto" w:fill="FFFFFF"/>
        <w:spacing w:before="0" w:after="0"/>
        <w:ind w:left="-28" w:firstLine="595"/>
        <w:rPr>
          <w:sz w:val="22"/>
          <w:szCs w:val="22"/>
        </w:rPr>
      </w:pPr>
      <w:r>
        <w:rPr>
          <w:sz w:val="22"/>
          <w:szCs w:val="22"/>
        </w:rPr>
        <w:t xml:space="preserve">8.6. Стороны обязуются уведомлять друг друга об изменении реквизитов, указанных в п. 8.5 и разделе 10 Договора, не позднее 3 (Трех) рабочих дней после такого изменения в порядке, установленном п. 8.7 Договора. </w:t>
      </w:r>
    </w:p>
    <w:p>
      <w:pPr>
        <w:pStyle w:val="Normal"/>
        <w:spacing w:before="0" w:after="0"/>
        <w:ind w:firstLine="540"/>
        <w:rPr>
          <w:sz w:val="22"/>
          <w:szCs w:val="22"/>
        </w:rPr>
      </w:pPr>
      <w:r>
        <w:rPr>
          <w:sz w:val="22"/>
          <w:szCs w:val="22"/>
        </w:rPr>
        <w:t>8.7. Документ будет считаться полученным:</w:t>
      </w:r>
    </w:p>
    <w:p>
      <w:pPr>
        <w:pStyle w:val="Normal"/>
        <w:spacing w:before="0" w:after="0"/>
        <w:ind w:firstLine="540"/>
        <w:rPr>
          <w:sz w:val="22"/>
          <w:szCs w:val="22"/>
        </w:rPr>
      </w:pPr>
      <w:r>
        <w:rPr>
          <w:sz w:val="22"/>
          <w:szCs w:val="22"/>
        </w:rPr>
        <w:t>8.7.1. в случае вручения лично или отправления по почте заказным письмом, курьерской связью - в дату и время фактического вручения;</w:t>
      </w:r>
    </w:p>
    <w:p>
      <w:pPr>
        <w:pStyle w:val="Normal"/>
        <w:spacing w:before="0" w:after="0"/>
        <w:ind w:firstLine="540"/>
        <w:rPr>
          <w:sz w:val="22"/>
          <w:szCs w:val="22"/>
        </w:rPr>
      </w:pPr>
      <w:r>
        <w:rPr>
          <w:sz w:val="22"/>
          <w:szCs w:val="22"/>
        </w:rPr>
        <w:t>8.7.2. в случае передачи по факсимильной связи - в дату и время отправления, подтвержденного протоколом передачи, распечатанным факсимильным аппаратом отправителя. В случае, если передача по факсимильной связи осуществляется вне обычных рабочих часов получателя, документ будет считаться полученным в 10.00 следующего рабочего дня. Оригиналы документов, направленных с использованием факсимильной связи должны не позднее того же дня направляться другой Стороне.</w:t>
      </w:r>
    </w:p>
    <w:p>
      <w:pPr>
        <w:pStyle w:val="Normal"/>
        <w:spacing w:before="0" w:after="0"/>
        <w:ind w:firstLine="540"/>
        <w:rPr>
          <w:sz w:val="22"/>
          <w:szCs w:val="22"/>
        </w:rPr>
      </w:pPr>
      <w:r>
        <w:rPr>
          <w:sz w:val="22"/>
          <w:szCs w:val="22"/>
        </w:rPr>
        <w:t xml:space="preserve">8.8. Во всем, что не урегулировано Договором, Стороны руководствуются положениями законодательства Российской Федерации. </w:t>
      </w:r>
    </w:p>
    <w:p>
      <w:pPr>
        <w:pStyle w:val="Normal"/>
        <w:spacing w:before="0" w:after="0"/>
        <w:ind w:firstLine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before="0" w:after="0"/>
        <w:ind w:firstLine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9. Приложения к Договору</w:t>
      </w:r>
    </w:p>
    <w:p>
      <w:pPr>
        <w:pStyle w:val="Normal"/>
        <w:widowControl w:val="false"/>
        <w:numPr>
          <w:ilvl w:val="0"/>
          <w:numId w:val="0"/>
        </w:numPr>
        <w:overflowPunct w:val="true"/>
        <w:spacing w:before="0" w:after="0"/>
        <w:ind w:left="0" w:firstLine="567"/>
        <w:textAlignment w:val="baseline"/>
        <w:outlineLvl w:val="2"/>
        <w:rPr>
          <w:bCs/>
          <w:sz w:val="22"/>
          <w:szCs w:val="22"/>
          <w:lang w:eastAsia="x-none"/>
        </w:rPr>
      </w:pPr>
      <w:r>
        <w:rPr>
          <w:bCs/>
          <w:sz w:val="22"/>
          <w:szCs w:val="22"/>
          <w:lang w:val="x-none" w:eastAsia="x-none"/>
        </w:rPr>
        <w:t xml:space="preserve">- Приложение №1 – </w:t>
      </w:r>
      <w:r>
        <w:rPr>
          <w:bCs/>
          <w:sz w:val="22"/>
          <w:szCs w:val="22"/>
          <w:lang w:eastAsia="x-none"/>
        </w:rPr>
        <w:t>Перечень Имущества</w:t>
      </w:r>
      <w:r>
        <w:rPr>
          <w:bCs/>
          <w:sz w:val="22"/>
          <w:szCs w:val="22"/>
          <w:lang w:val="x-none" w:eastAsia="x-none"/>
        </w:rPr>
        <w:t>.</w:t>
      </w:r>
    </w:p>
    <w:p>
      <w:pPr>
        <w:pStyle w:val="Normal"/>
        <w:spacing w:before="0" w:after="0"/>
        <w:ind w:firstLine="567"/>
        <w:jc w:val="left"/>
        <w:rPr>
          <w:bCs/>
          <w:sz w:val="22"/>
          <w:szCs w:val="22"/>
          <w:lang w:eastAsia="x-none"/>
        </w:rPr>
      </w:pPr>
      <w:r>
        <w:rPr>
          <w:sz w:val="22"/>
          <w:szCs w:val="22"/>
          <w:lang w:eastAsia="x-none"/>
        </w:rPr>
        <w:t xml:space="preserve">- </w:t>
      </w:r>
      <w:r>
        <w:rPr>
          <w:bCs/>
          <w:sz w:val="22"/>
          <w:szCs w:val="22"/>
          <w:lang w:val="x-none" w:eastAsia="x-none"/>
        </w:rPr>
        <w:t xml:space="preserve">Приложение №2 – Акт приема – передачи </w:t>
      </w:r>
      <w:r>
        <w:rPr>
          <w:bCs/>
          <w:sz w:val="22"/>
          <w:szCs w:val="22"/>
          <w:lang w:eastAsia="x-none"/>
        </w:rPr>
        <w:t>Имущества</w:t>
      </w:r>
      <w:r>
        <w:rPr>
          <w:bCs/>
          <w:sz w:val="22"/>
          <w:szCs w:val="22"/>
          <w:lang w:val="x-none" w:eastAsia="x-none"/>
        </w:rPr>
        <w:t>.</w:t>
      </w:r>
    </w:p>
    <w:p>
      <w:pPr>
        <w:pStyle w:val="Normal"/>
        <w:spacing w:before="0"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before="0"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10. Юридические адреса и реквизиты сторон.</w:t>
      </w:r>
    </w:p>
    <w:p>
      <w:pPr>
        <w:pStyle w:val="Normal"/>
        <w:spacing w:before="0"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hd w:val="clear" w:color="auto" w:fill="FFFFFF"/>
        <w:spacing w:lineRule="exact" w:line="278" w:before="0" w:after="0"/>
        <w:jc w:val="center"/>
        <w:rPr>
          <w:rFonts w:eastAsia="A"/>
          <w:b/>
          <w:color w:val="000000"/>
          <w:spacing w:val="-4"/>
          <w:sz w:val="22"/>
          <w:szCs w:val="22"/>
        </w:rPr>
      </w:pPr>
      <w:r>
        <w:rPr>
          <w:rFonts w:eastAsia="A"/>
          <w:b/>
          <w:color w:val="000000"/>
          <w:spacing w:val="-4"/>
          <w:sz w:val="22"/>
          <w:szCs w:val="22"/>
        </w:rPr>
        <w:t>Подписи Сторон:</w:t>
      </w:r>
    </w:p>
    <w:p>
      <w:pPr>
        <w:pStyle w:val="Normal"/>
        <w:shd w:val="clear" w:color="auto" w:fill="FFFFFF"/>
        <w:spacing w:lineRule="exact" w:line="278" w:before="0" w:after="0"/>
        <w:jc w:val="left"/>
        <w:rPr>
          <w:rFonts w:eastAsia="A"/>
          <w:b/>
          <w:color w:val="000000"/>
          <w:spacing w:val="-4"/>
          <w:sz w:val="22"/>
          <w:szCs w:val="22"/>
        </w:rPr>
      </w:pPr>
      <w:r>
        <w:rPr>
          <w:rFonts w:eastAsia="A"/>
          <w:b/>
          <w:color w:val="000000"/>
          <w:spacing w:val="-4"/>
          <w:sz w:val="22"/>
          <w:szCs w:val="22"/>
        </w:rPr>
      </w:r>
    </w:p>
    <w:tbl>
      <w:tblPr>
        <w:tblW w:w="1034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5546"/>
        <w:gridCol w:w="4799"/>
      </w:tblGrid>
      <w:tr>
        <w:trPr>
          <w:trHeight w:val="515" w:hRule="atLeast"/>
        </w:trPr>
        <w:tc>
          <w:tcPr>
            <w:tcW w:w="5546" w:type="dxa"/>
            <w:tcBorders/>
          </w:tcPr>
          <w:p>
            <w:pPr>
              <w:pStyle w:val="Normal"/>
              <w:widowControl w:val="false"/>
              <w:spacing w:lineRule="exact" w:line="278"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Продавец:</w:t>
            </w:r>
          </w:p>
          <w:p>
            <w:pPr>
              <w:pStyle w:val="Normal"/>
              <w:widowControl w:val="false"/>
              <w:spacing w:lineRule="exact" w:line="278"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4799" w:type="dxa"/>
            <w:tcBorders/>
          </w:tcPr>
          <w:p>
            <w:pPr>
              <w:pStyle w:val="Normal"/>
              <w:widowControl w:val="false"/>
              <w:spacing w:lineRule="exact" w:line="278"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Покупатель:</w:t>
            </w:r>
          </w:p>
          <w:p>
            <w:pPr>
              <w:pStyle w:val="Normal"/>
              <w:widowControl w:val="false"/>
              <w:spacing w:lineRule="exact" w:line="278"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733" w:hRule="atLeast"/>
        </w:trPr>
        <w:tc>
          <w:tcPr>
            <w:tcW w:w="5546" w:type="dxa"/>
            <w:tcBorders/>
          </w:tcPr>
          <w:p>
            <w:pPr>
              <w:pStyle w:val="Normal"/>
              <w:widowControl w:val="false"/>
              <w:snapToGrid w:val="false"/>
              <w:spacing w:before="0" w:after="0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4799" w:type="dxa"/>
            <w:tcBorders/>
          </w:tcPr>
          <w:p>
            <w:pPr>
              <w:pStyle w:val="Normal"/>
              <w:widowControl w:val="false"/>
              <w:snapToGrid w:val="false"/>
              <w:spacing w:before="0" w:after="0"/>
              <w:jc w:val="left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</w:r>
          </w:p>
        </w:tc>
      </w:tr>
      <w:tr>
        <w:trPr>
          <w:trHeight w:val="515" w:hRule="atLeast"/>
        </w:trPr>
        <w:tc>
          <w:tcPr>
            <w:tcW w:w="5546" w:type="dxa"/>
            <w:tcBorders/>
          </w:tcPr>
          <w:p>
            <w:pPr>
              <w:pStyle w:val="Normal"/>
              <w:widowControl w:val="false"/>
              <w:spacing w:lineRule="exact" w:line="278" w:before="0" w:after="0"/>
              <w:jc w:val="left"/>
              <w:rPr>
                <w:rFonts w:eastAsia="A"/>
                <w:color w:val="000000"/>
                <w:spacing w:val="-4"/>
                <w:sz w:val="22"/>
                <w:szCs w:val="22"/>
              </w:rPr>
            </w:pPr>
            <w:r>
              <w:rPr>
                <w:rFonts w:eastAsia="A"/>
                <w:color w:val="000000"/>
                <w:spacing w:val="-4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exact" w:line="278" w:before="0" w:after="0"/>
              <w:jc w:val="left"/>
              <w:rPr>
                <w:rFonts w:eastAsia="A"/>
                <w:color w:val="000000"/>
                <w:spacing w:val="-4"/>
                <w:sz w:val="22"/>
                <w:szCs w:val="22"/>
              </w:rPr>
            </w:pPr>
            <w:r>
              <w:rPr>
                <w:rFonts w:eastAsia="A"/>
                <w:color w:val="000000"/>
                <w:spacing w:val="-4"/>
                <w:sz w:val="22"/>
                <w:szCs w:val="22"/>
              </w:rPr>
              <w:t>_____________________/____________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eastAsia="A"/>
                <w:color w:val="000000"/>
                <w:spacing w:val="-4"/>
                <w:sz w:val="22"/>
                <w:szCs w:val="22"/>
              </w:rPr>
              <w:t>/</w:t>
            </w:r>
          </w:p>
        </w:tc>
        <w:tc>
          <w:tcPr>
            <w:tcW w:w="4799" w:type="dxa"/>
            <w:tcBorders/>
          </w:tcPr>
          <w:p>
            <w:pPr>
              <w:pStyle w:val="Normal"/>
              <w:widowControl w:val="false"/>
              <w:spacing w:lineRule="exact" w:line="278" w:before="0" w:after="0"/>
              <w:jc w:val="left"/>
              <w:rPr>
                <w:rFonts w:eastAsia="A"/>
                <w:color w:val="000000"/>
                <w:spacing w:val="-4"/>
                <w:sz w:val="22"/>
                <w:szCs w:val="22"/>
              </w:rPr>
            </w:pPr>
            <w:r>
              <w:rPr>
                <w:rFonts w:eastAsia="A"/>
                <w:color w:val="000000"/>
                <w:spacing w:val="-4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exact" w:line="278" w:before="0" w:after="0"/>
              <w:jc w:val="left"/>
              <w:rPr>
                <w:rFonts w:eastAsia="A"/>
                <w:color w:val="000000"/>
                <w:spacing w:val="-4"/>
                <w:sz w:val="22"/>
                <w:szCs w:val="22"/>
              </w:rPr>
            </w:pPr>
            <w:r>
              <w:rPr>
                <w:rFonts w:eastAsia="A"/>
                <w:color w:val="000000"/>
                <w:spacing w:val="-4"/>
                <w:sz w:val="22"/>
                <w:szCs w:val="22"/>
              </w:rPr>
              <w:t>_____________________/______________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eastAsia="A"/>
                <w:color w:val="000000"/>
                <w:spacing w:val="-4"/>
                <w:sz w:val="22"/>
                <w:szCs w:val="22"/>
              </w:rPr>
              <w:t>/</w:t>
            </w:r>
          </w:p>
        </w:tc>
      </w:tr>
      <w:tr>
        <w:trPr>
          <w:trHeight w:val="249" w:hRule="atLeast"/>
        </w:trPr>
        <w:tc>
          <w:tcPr>
            <w:tcW w:w="5546" w:type="dxa"/>
            <w:tcBorders/>
          </w:tcPr>
          <w:p>
            <w:pPr>
              <w:pStyle w:val="Normal"/>
              <w:widowControl w:val="false"/>
              <w:spacing w:lineRule="exact" w:line="278" w:before="0" w:after="0"/>
              <w:jc w:val="left"/>
              <w:rPr>
                <w:rFonts w:eastAsia="A"/>
                <w:color w:val="000000"/>
                <w:spacing w:val="-4"/>
                <w:sz w:val="22"/>
                <w:szCs w:val="22"/>
              </w:rPr>
            </w:pPr>
            <w:r>
              <w:rPr>
                <w:rFonts w:eastAsia="A"/>
                <w:color w:val="000000"/>
                <w:spacing w:val="-4"/>
                <w:sz w:val="22"/>
                <w:szCs w:val="22"/>
              </w:rPr>
              <w:t xml:space="preserve">                                   </w:t>
            </w:r>
            <w:r>
              <w:rPr>
                <w:rFonts w:eastAsia="A"/>
                <w:color w:val="000000"/>
                <w:spacing w:val="-4"/>
                <w:sz w:val="22"/>
                <w:szCs w:val="22"/>
              </w:rPr>
              <w:t>М.П.</w:t>
            </w:r>
          </w:p>
        </w:tc>
        <w:tc>
          <w:tcPr>
            <w:tcW w:w="4799" w:type="dxa"/>
            <w:tcBorders/>
          </w:tcPr>
          <w:p>
            <w:pPr>
              <w:pStyle w:val="Normal"/>
              <w:widowControl w:val="false"/>
              <w:spacing w:lineRule="exact" w:line="278" w:before="0" w:after="0"/>
              <w:jc w:val="left"/>
              <w:rPr>
                <w:rFonts w:eastAsia="A"/>
                <w:color w:val="000000"/>
                <w:spacing w:val="-4"/>
                <w:sz w:val="22"/>
                <w:szCs w:val="22"/>
              </w:rPr>
            </w:pPr>
            <w:r>
              <w:rPr>
                <w:rFonts w:eastAsia="A"/>
                <w:color w:val="000000"/>
                <w:spacing w:val="-4"/>
                <w:sz w:val="22"/>
                <w:szCs w:val="22"/>
              </w:rPr>
              <w:t xml:space="preserve">                                   </w:t>
            </w:r>
            <w:r>
              <w:rPr>
                <w:rFonts w:eastAsia="A"/>
                <w:color w:val="000000"/>
                <w:spacing w:val="-4"/>
                <w:sz w:val="22"/>
                <w:szCs w:val="22"/>
              </w:rPr>
              <w:t>М.П.</w:t>
            </w:r>
          </w:p>
        </w:tc>
      </w:tr>
    </w:tbl>
    <w:p>
      <w:pPr>
        <w:sectPr>
          <w:type w:val="nextPage"/>
          <w:pgSz w:w="11906" w:h="16838"/>
          <w:pgMar w:left="993" w:right="567" w:gutter="0" w:header="0" w:top="851" w:footer="0" w:bottom="709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before="0" w:after="0"/>
        <w:ind w:left="709" w:hanging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</w:t>
      </w:r>
      <w:r>
        <w:rPr>
          <w:sz w:val="22"/>
          <w:szCs w:val="22"/>
        </w:rPr>
        <w:t>Приложение № 1</w:t>
      </w:r>
    </w:p>
    <w:p>
      <w:pPr>
        <w:pStyle w:val="Normal"/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>к Договору №___ от_____20___г.</w:t>
      </w:r>
    </w:p>
    <w:p>
      <w:pPr>
        <w:pStyle w:val="Normal"/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</w:t>
      </w:r>
    </w:p>
    <w:p>
      <w:pPr>
        <w:pStyle w:val="Normal"/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Перечень Имущества</w:t>
      </w:r>
    </w:p>
    <w:p>
      <w:pPr>
        <w:pStyle w:val="Normal"/>
        <w:spacing w:before="0"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31"/>
        <w:gridCol w:w="1236"/>
        <w:gridCol w:w="695"/>
        <w:gridCol w:w="1687"/>
        <w:gridCol w:w="944"/>
        <w:gridCol w:w="681"/>
        <w:gridCol w:w="610"/>
        <w:gridCol w:w="811"/>
        <w:gridCol w:w="636"/>
        <w:gridCol w:w="962"/>
        <w:gridCol w:w="962"/>
        <w:gridCol w:w="549"/>
      </w:tblGrid>
      <w:tr>
        <w:trPr>
          <w:trHeight w:val="943" w:hRule="atLeast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BF1DE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№ </w:t>
            </w:r>
            <w:r>
              <w:rPr>
                <w:b/>
                <w:bCs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12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BF1DE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Наименование в учете</w:t>
            </w:r>
          </w:p>
        </w:tc>
        <w:tc>
          <w:tcPr>
            <w:tcW w:w="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BF1DE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Инв.№</w:t>
            </w:r>
          </w:p>
        </w:tc>
        <w:tc>
          <w:tcPr>
            <w:tcW w:w="16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BF1DE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VIN либо иной идентификационный номер</w:t>
            </w:r>
          </w:p>
        </w:tc>
        <w:tc>
          <w:tcPr>
            <w:tcW w:w="9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BF1DE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Двигатель №:</w:t>
            </w:r>
          </w:p>
        </w:tc>
        <w:tc>
          <w:tcPr>
            <w:tcW w:w="6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BF1DE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Шасси (рама) №:</w:t>
            </w:r>
          </w:p>
        </w:tc>
        <w:tc>
          <w:tcPr>
            <w:tcW w:w="6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BF1DE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Цвет:</w:t>
            </w:r>
          </w:p>
        </w:tc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BF1DE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Год 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выпуска</w:t>
            </w:r>
          </w:p>
        </w:tc>
        <w:tc>
          <w:tcPr>
            <w:tcW w:w="6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BF1DE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Гос. номер</w:t>
            </w:r>
          </w:p>
        </w:tc>
        <w:tc>
          <w:tcPr>
            <w:tcW w:w="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BF1DE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стоимость, руб. (без НДС)</w:t>
            </w:r>
          </w:p>
        </w:tc>
        <w:tc>
          <w:tcPr>
            <w:tcW w:w="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BF1DE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стоимость, руб. (с НДС)</w:t>
            </w:r>
          </w:p>
        </w:tc>
        <w:tc>
          <w:tcPr>
            <w:tcW w:w="5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BF1DE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НДС</w:t>
            </w:r>
          </w:p>
        </w:tc>
      </w:tr>
      <w:tr>
        <w:trPr>
          <w:trHeight w:val="943" w:hRule="atLeast"/>
        </w:trPr>
        <w:tc>
          <w:tcPr>
            <w:tcW w:w="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69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9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68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6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1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9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5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</w:tbl>
    <w:p>
      <w:pPr>
        <w:pStyle w:val="Normal"/>
        <w:shd w:val="clear" w:color="auto" w:fill="FFFFFF"/>
        <w:spacing w:before="0" w:after="0"/>
        <w:jc w:val="left"/>
        <w:rPr>
          <w:rFonts w:eastAsia="A"/>
          <w:b/>
          <w:i/>
          <w:i/>
          <w:color w:val="000000"/>
          <w:spacing w:val="-4"/>
          <w:sz w:val="22"/>
          <w:szCs w:val="22"/>
        </w:rPr>
      </w:pPr>
      <w:r>
        <w:rPr>
          <w:rFonts w:eastAsia="A"/>
          <w:b/>
          <w:i/>
          <w:color w:val="000000"/>
          <w:spacing w:val="-4"/>
          <w:sz w:val="22"/>
          <w:szCs w:val="22"/>
        </w:rPr>
        <w:t>Сведения о дополнительном оборудовании_______________________________(если установлено).</w:t>
      </w:r>
    </w:p>
    <w:p>
      <w:pPr>
        <w:pStyle w:val="Normal"/>
        <w:shd w:val="clear" w:color="auto" w:fill="FFFFFF"/>
        <w:spacing w:before="0" w:after="0"/>
        <w:jc w:val="left"/>
        <w:rPr>
          <w:rFonts w:eastAsia="A"/>
          <w:b/>
          <w:color w:val="000000"/>
          <w:spacing w:val="-4"/>
          <w:sz w:val="22"/>
          <w:szCs w:val="22"/>
        </w:rPr>
      </w:pPr>
      <w:r>
        <w:rPr>
          <w:rFonts w:eastAsia="A"/>
          <w:b/>
          <w:color w:val="000000"/>
          <w:spacing w:val="-4"/>
          <w:sz w:val="22"/>
          <w:szCs w:val="22"/>
        </w:rPr>
      </w:r>
    </w:p>
    <w:p>
      <w:pPr>
        <w:pStyle w:val="Normal"/>
        <w:shd w:val="clear" w:color="auto" w:fill="FFFFFF"/>
        <w:spacing w:before="0" w:after="0"/>
        <w:jc w:val="center"/>
        <w:rPr>
          <w:rFonts w:eastAsia="A"/>
          <w:b/>
          <w:color w:val="000000"/>
          <w:spacing w:val="-4"/>
          <w:sz w:val="22"/>
          <w:szCs w:val="22"/>
        </w:rPr>
      </w:pPr>
      <w:r>
        <w:rPr>
          <w:rFonts w:eastAsia="A"/>
          <w:b/>
          <w:color w:val="000000"/>
          <w:spacing w:val="-4"/>
          <w:sz w:val="22"/>
          <w:szCs w:val="22"/>
        </w:rPr>
        <w:t>Подписи Сторон:</w:t>
      </w:r>
    </w:p>
    <w:p>
      <w:pPr>
        <w:pStyle w:val="Normal"/>
        <w:spacing w:before="0"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tbl>
      <w:tblPr>
        <w:tblW w:w="1020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5446"/>
        <w:gridCol w:w="4758"/>
      </w:tblGrid>
      <w:tr>
        <w:trPr>
          <w:trHeight w:val="515" w:hRule="atLeast"/>
        </w:trPr>
        <w:tc>
          <w:tcPr>
            <w:tcW w:w="5446" w:type="dxa"/>
            <w:tcBorders/>
          </w:tcPr>
          <w:p>
            <w:pPr>
              <w:pStyle w:val="Normal"/>
              <w:widowControl w:val="false"/>
              <w:spacing w:lineRule="exact" w:line="278"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Продавец:</w:t>
            </w:r>
          </w:p>
          <w:p>
            <w:pPr>
              <w:pStyle w:val="Normal"/>
              <w:widowControl w:val="false"/>
              <w:spacing w:lineRule="exact" w:line="278"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4758" w:type="dxa"/>
            <w:tcBorders/>
          </w:tcPr>
          <w:p>
            <w:pPr>
              <w:pStyle w:val="Normal"/>
              <w:widowControl w:val="false"/>
              <w:spacing w:lineRule="exact" w:line="278"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Покупатель:</w:t>
            </w:r>
          </w:p>
          <w:p>
            <w:pPr>
              <w:pStyle w:val="Normal"/>
              <w:widowControl w:val="false"/>
              <w:spacing w:lineRule="exact" w:line="278"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733" w:hRule="atLeast"/>
        </w:trPr>
        <w:tc>
          <w:tcPr>
            <w:tcW w:w="5446" w:type="dxa"/>
            <w:tcBorders/>
          </w:tcPr>
          <w:p>
            <w:pPr>
              <w:pStyle w:val="Normal"/>
              <w:widowControl w:val="false"/>
              <w:snapToGrid w:val="false"/>
              <w:spacing w:before="0" w:after="0"/>
              <w:jc w:val="left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  <w:highlight w:val="yellow"/>
              </w:rPr>
            </w:r>
          </w:p>
        </w:tc>
        <w:tc>
          <w:tcPr>
            <w:tcW w:w="4758" w:type="dxa"/>
            <w:tcBorders/>
          </w:tcPr>
          <w:p>
            <w:pPr>
              <w:pStyle w:val="Normal"/>
              <w:widowControl w:val="false"/>
              <w:snapToGrid w:val="false"/>
              <w:spacing w:before="0" w:after="0"/>
              <w:jc w:val="left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</w:r>
          </w:p>
        </w:tc>
      </w:tr>
      <w:tr>
        <w:trPr>
          <w:trHeight w:val="515" w:hRule="atLeast"/>
        </w:trPr>
        <w:tc>
          <w:tcPr>
            <w:tcW w:w="5446" w:type="dxa"/>
            <w:tcBorders/>
          </w:tcPr>
          <w:p>
            <w:pPr>
              <w:pStyle w:val="Normal"/>
              <w:widowControl w:val="false"/>
              <w:spacing w:lineRule="exact" w:line="278" w:before="0" w:after="0"/>
              <w:jc w:val="left"/>
              <w:rPr>
                <w:rFonts w:eastAsia="A"/>
                <w:b/>
                <w:color w:val="000000"/>
                <w:spacing w:val="-4"/>
                <w:sz w:val="22"/>
                <w:szCs w:val="22"/>
              </w:rPr>
            </w:pPr>
            <w:r>
              <w:rPr>
                <w:rFonts w:eastAsia="A"/>
                <w:b/>
                <w:color w:val="000000"/>
                <w:spacing w:val="-4"/>
                <w:sz w:val="22"/>
                <w:szCs w:val="22"/>
              </w:rPr>
              <w:t>_____________________/___________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rFonts w:eastAsia="A"/>
                <w:b/>
                <w:color w:val="000000"/>
                <w:spacing w:val="-4"/>
                <w:sz w:val="22"/>
                <w:szCs w:val="22"/>
              </w:rPr>
              <w:t>/</w:t>
            </w:r>
          </w:p>
        </w:tc>
        <w:tc>
          <w:tcPr>
            <w:tcW w:w="4758" w:type="dxa"/>
            <w:tcBorders/>
          </w:tcPr>
          <w:p>
            <w:pPr>
              <w:pStyle w:val="Normal"/>
              <w:widowControl w:val="false"/>
              <w:spacing w:lineRule="exact" w:line="278" w:before="0" w:after="0"/>
              <w:jc w:val="left"/>
              <w:rPr>
                <w:rFonts w:eastAsia="A"/>
                <w:b/>
                <w:color w:val="000000"/>
                <w:spacing w:val="-4"/>
                <w:sz w:val="22"/>
                <w:szCs w:val="22"/>
              </w:rPr>
            </w:pPr>
            <w:r>
              <w:rPr>
                <w:rFonts w:eastAsia="A"/>
                <w:b/>
                <w:color w:val="000000"/>
                <w:spacing w:val="-4"/>
                <w:sz w:val="22"/>
                <w:szCs w:val="22"/>
              </w:rPr>
              <w:t>_____________________/______________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rFonts w:eastAsia="A"/>
                <w:b/>
                <w:color w:val="000000"/>
                <w:spacing w:val="-4"/>
                <w:sz w:val="22"/>
                <w:szCs w:val="22"/>
              </w:rPr>
              <w:t>/</w:t>
            </w:r>
          </w:p>
        </w:tc>
      </w:tr>
      <w:tr>
        <w:trPr>
          <w:trHeight w:val="249" w:hRule="atLeast"/>
        </w:trPr>
        <w:tc>
          <w:tcPr>
            <w:tcW w:w="5446" w:type="dxa"/>
            <w:tcBorders/>
          </w:tcPr>
          <w:p>
            <w:pPr>
              <w:pStyle w:val="Normal"/>
              <w:widowControl w:val="false"/>
              <w:spacing w:lineRule="exact" w:line="278" w:before="0" w:after="0"/>
              <w:jc w:val="left"/>
              <w:rPr>
                <w:rFonts w:eastAsia="A"/>
                <w:color w:val="000000"/>
                <w:spacing w:val="-4"/>
                <w:sz w:val="22"/>
                <w:szCs w:val="22"/>
              </w:rPr>
            </w:pPr>
            <w:r>
              <w:rPr>
                <w:rFonts w:eastAsia="A"/>
                <w:color w:val="000000"/>
                <w:spacing w:val="-4"/>
                <w:sz w:val="22"/>
                <w:szCs w:val="22"/>
              </w:rPr>
              <w:t xml:space="preserve">                                 </w:t>
            </w:r>
            <w:r>
              <w:rPr>
                <w:rFonts w:eastAsia="A"/>
                <w:color w:val="000000"/>
                <w:spacing w:val="-4"/>
                <w:sz w:val="22"/>
                <w:szCs w:val="22"/>
              </w:rPr>
              <w:t>М.П.</w:t>
            </w:r>
          </w:p>
        </w:tc>
        <w:tc>
          <w:tcPr>
            <w:tcW w:w="4758" w:type="dxa"/>
            <w:tcBorders/>
          </w:tcPr>
          <w:p>
            <w:pPr>
              <w:pStyle w:val="Normal"/>
              <w:widowControl w:val="false"/>
              <w:spacing w:lineRule="exact" w:line="278" w:before="0" w:after="0"/>
              <w:jc w:val="left"/>
              <w:rPr>
                <w:rFonts w:eastAsia="A"/>
                <w:color w:val="000000"/>
                <w:spacing w:val="-4"/>
                <w:sz w:val="22"/>
                <w:szCs w:val="22"/>
              </w:rPr>
            </w:pPr>
            <w:r>
              <w:rPr>
                <w:rFonts w:eastAsia="A"/>
                <w:color w:val="000000"/>
                <w:spacing w:val="-4"/>
                <w:sz w:val="22"/>
                <w:szCs w:val="22"/>
              </w:rPr>
              <w:t xml:space="preserve">                                   </w:t>
            </w:r>
            <w:r>
              <w:rPr>
                <w:rFonts w:eastAsia="A"/>
                <w:color w:val="000000"/>
                <w:spacing w:val="-4"/>
                <w:sz w:val="22"/>
                <w:szCs w:val="22"/>
              </w:rPr>
              <w:t>М.П.</w:t>
            </w:r>
          </w:p>
        </w:tc>
      </w:tr>
    </w:tbl>
    <w:p>
      <w:pPr>
        <w:pStyle w:val="Normal"/>
        <w:spacing w:before="0" w:after="0"/>
        <w:jc w:val="left"/>
        <w:rPr>
          <w:sz w:val="22"/>
          <w:szCs w:val="22"/>
        </w:rPr>
      </w:pPr>
      <w:r>
        <w:rPr>
          <w:sz w:val="22"/>
          <w:szCs w:val="22"/>
        </w:rPr>
      </w:r>
      <w:r>
        <w:br w:type="page"/>
      </w:r>
    </w:p>
    <w:p>
      <w:pPr>
        <w:pStyle w:val="Normal"/>
        <w:spacing w:before="0" w:after="0"/>
        <w:ind w:left="5664" w:hanging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</w:t>
      </w:r>
      <w:r>
        <w:rPr>
          <w:sz w:val="22"/>
          <w:szCs w:val="22"/>
        </w:rPr>
        <w:t>Приложение № 2</w:t>
      </w:r>
    </w:p>
    <w:p>
      <w:pPr>
        <w:pStyle w:val="Normal"/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>к Договору №___ от_____20___г.</w:t>
      </w:r>
    </w:p>
    <w:p>
      <w:pPr>
        <w:pStyle w:val="Normal"/>
        <w:spacing w:before="0" w:after="0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before="0"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АКТ ПРИЕМА-ПЕРЕДАЧИ ИМУЩЕСТВА</w:t>
      </w:r>
    </w:p>
    <w:p>
      <w:pPr>
        <w:pStyle w:val="Normal"/>
        <w:spacing w:before="0" w:after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0"/>
        <w:jc w:val="center"/>
        <w:rPr>
          <w:color w:val="000000"/>
          <w:spacing w:val="1"/>
          <w:sz w:val="22"/>
          <w:szCs w:val="22"/>
        </w:rPr>
      </w:pPr>
      <w:r>
        <w:rPr>
          <w:color w:val="000000"/>
          <w:spacing w:val="1"/>
          <w:sz w:val="22"/>
          <w:szCs w:val="22"/>
        </w:rPr>
        <w:t>МЕСТО</w:t>
        <w:tab/>
        <w:t xml:space="preserve">                                                                        «___»_________ 20__г.</w:t>
      </w:r>
    </w:p>
    <w:p>
      <w:pPr>
        <w:pStyle w:val="Normal"/>
        <w:spacing w:before="0" w:after="0"/>
        <w:ind w:firstLine="540"/>
        <w:rPr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</w:t>
      </w:r>
      <w:r>
        <w:rPr>
          <w:sz w:val="22"/>
          <w:szCs w:val="22"/>
        </w:rPr>
        <w:t xml:space="preserve">, место нахождения: </w:t>
      </w:r>
      <w:r>
        <w:rPr>
          <w:bCs/>
          <w:color w:val="000000"/>
          <w:spacing w:val="-3"/>
          <w:sz w:val="22"/>
          <w:szCs w:val="22"/>
        </w:rPr>
        <w:t>_____________________________________________ именуемое в дальнейшем «Продавец», в лице ___________________________________________, действующего на основании _______________________________________________</w:t>
      </w:r>
      <w:r>
        <w:rPr>
          <w:sz w:val="22"/>
          <w:szCs w:val="22"/>
        </w:rPr>
        <w:t xml:space="preserve">, и </w:t>
      </w:r>
      <w:r>
        <w:rPr>
          <w:b/>
          <w:sz w:val="22"/>
          <w:szCs w:val="22"/>
        </w:rPr>
        <w:t>____________________________</w:t>
      </w:r>
      <w:r>
        <w:rPr>
          <w:sz w:val="22"/>
          <w:szCs w:val="22"/>
        </w:rPr>
        <w:t>, место нахождения: ________________________, именуемое в дальнейшем «Покупатель», в лице ___________________, действующего на основании ______________, с другой стороны, составили настоящий Акт о нижеследующем:</w:t>
      </w:r>
    </w:p>
    <w:p>
      <w:pPr>
        <w:pStyle w:val="Normal"/>
        <w:widowControl w:val="false"/>
        <w:spacing w:before="0" w:after="0"/>
        <w:ind w:firstLine="567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numPr>
          <w:ilvl w:val="0"/>
          <w:numId w:val="12"/>
        </w:numPr>
        <w:spacing w:lineRule="auto" w:line="259" w:before="0" w:after="160"/>
        <w:jc w:val="left"/>
        <w:rPr>
          <w:sz w:val="22"/>
          <w:szCs w:val="22"/>
        </w:rPr>
      </w:pPr>
      <w:r>
        <w:rPr>
          <w:sz w:val="22"/>
          <w:szCs w:val="22"/>
        </w:rPr>
        <w:t>Продавец передает, а Покупатель принимает в собственность следующее Имущество:</w:t>
      </w:r>
    </w:p>
    <w:p>
      <w:pPr>
        <w:pStyle w:val="Normal"/>
        <w:spacing w:before="0" w:after="0"/>
        <w:ind w:left="709" w:hanging="0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25"/>
        <w:gridCol w:w="1671"/>
        <w:gridCol w:w="900"/>
        <w:gridCol w:w="2315"/>
        <w:gridCol w:w="1254"/>
        <w:gridCol w:w="881"/>
        <w:gridCol w:w="780"/>
        <w:gridCol w:w="1064"/>
        <w:gridCol w:w="814"/>
      </w:tblGrid>
      <w:tr>
        <w:trPr>
          <w:trHeight w:val="724" w:hRule="atLeast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BF1DE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№ </w:t>
            </w:r>
            <w:r>
              <w:rPr>
                <w:b/>
                <w:bCs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16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BF1DE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Наименование в учете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BF1DE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Инв.№</w:t>
            </w:r>
          </w:p>
        </w:tc>
        <w:tc>
          <w:tcPr>
            <w:tcW w:w="23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BF1DE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VIN либо иной идентификационный 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номер</w:t>
            </w:r>
          </w:p>
        </w:tc>
        <w:tc>
          <w:tcPr>
            <w:tcW w:w="12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BF1DE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Двигатель №:</w:t>
            </w:r>
          </w:p>
        </w:tc>
        <w:tc>
          <w:tcPr>
            <w:tcW w:w="8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BF1DE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Шасси (рама) № :</w:t>
            </w:r>
          </w:p>
        </w:tc>
        <w:tc>
          <w:tcPr>
            <w:tcW w:w="7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BF1DE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Цвет:</w:t>
            </w:r>
          </w:p>
        </w:tc>
        <w:tc>
          <w:tcPr>
            <w:tcW w:w="10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BF1DE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Год выпуска</w:t>
            </w:r>
          </w:p>
        </w:tc>
        <w:tc>
          <w:tcPr>
            <w:tcW w:w="8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BF1DE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Гос. номер</w:t>
            </w:r>
          </w:p>
        </w:tc>
      </w:tr>
      <w:tr>
        <w:trPr>
          <w:trHeight w:val="450" w:hRule="atLeast"/>
        </w:trPr>
        <w:tc>
          <w:tcPr>
            <w:tcW w:w="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7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Cs/>
                <w:sz w:val="22"/>
                <w:szCs w:val="22"/>
                <w:highlight w:val="yellow"/>
                <w:lang w:val="en-US"/>
              </w:rPr>
            </w:pPr>
            <w:r>
              <w:rPr>
                <w:b/>
                <w:bCs/>
                <w:sz w:val="22"/>
                <w:szCs w:val="22"/>
                <w:highlight w:val="yellow"/>
                <w:lang w:val="en-US"/>
              </w:rPr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125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88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106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81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</w:tr>
      <w:tr>
        <w:trPr>
          <w:trHeight w:val="450" w:hRule="atLeast"/>
        </w:trPr>
        <w:tc>
          <w:tcPr>
            <w:tcW w:w="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7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Cs/>
                <w:sz w:val="22"/>
                <w:szCs w:val="22"/>
                <w:highlight w:val="yellow"/>
                <w:lang w:val="en-US"/>
              </w:rPr>
            </w:pPr>
            <w:r>
              <w:rPr>
                <w:b/>
                <w:bCs/>
                <w:sz w:val="22"/>
                <w:szCs w:val="22"/>
                <w:highlight w:val="yellow"/>
                <w:lang w:val="en-US"/>
              </w:rPr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231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125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88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106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81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</w:tr>
    </w:tbl>
    <w:p>
      <w:pPr>
        <w:pStyle w:val="Normal"/>
        <w:spacing w:before="0" w:after="0"/>
        <w:ind w:left="709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0"/>
        <w:ind w:left="709" w:hanging="0"/>
        <w:rPr>
          <w:b/>
          <w:i/>
          <w:i/>
          <w:sz w:val="22"/>
          <w:szCs w:val="22"/>
        </w:rPr>
      </w:pPr>
      <w:r>
        <w:rPr>
          <w:b/>
          <w:i/>
          <w:sz w:val="22"/>
          <w:szCs w:val="22"/>
        </w:rPr>
        <w:t>Информация о дополнительно установленном оборудовании (если установлено)</w:t>
      </w:r>
    </w:p>
    <w:p>
      <w:pPr>
        <w:pStyle w:val="Normal"/>
        <w:spacing w:before="0" w:after="0"/>
        <w:ind w:left="709" w:hanging="0"/>
        <w:rPr>
          <w:b/>
          <w:i/>
          <w:i/>
          <w:sz w:val="22"/>
          <w:szCs w:val="22"/>
        </w:rPr>
      </w:pPr>
      <w:r>
        <w:rPr>
          <w:b/>
          <w:i/>
          <w:sz w:val="22"/>
          <w:szCs w:val="22"/>
        </w:rPr>
      </w:r>
    </w:p>
    <w:p>
      <w:pPr>
        <w:pStyle w:val="Normal"/>
        <w:numPr>
          <w:ilvl w:val="0"/>
          <w:numId w:val="13"/>
        </w:numPr>
        <w:spacing w:lineRule="auto" w:line="259" w:before="0" w:after="160"/>
        <w:jc w:val="left"/>
        <w:rPr>
          <w:sz w:val="22"/>
          <w:szCs w:val="22"/>
        </w:rPr>
      </w:pPr>
      <w:r>
        <w:rPr>
          <w:sz w:val="22"/>
          <w:szCs w:val="22"/>
        </w:rPr>
        <w:t>Имущество находится в нормальном состоянии и соответствует требованиям по его эксплуатации.</w:t>
      </w:r>
    </w:p>
    <w:p>
      <w:pPr>
        <w:pStyle w:val="Normal"/>
        <w:widowControl w:val="false"/>
        <w:numPr>
          <w:ilvl w:val="0"/>
          <w:numId w:val="14"/>
        </w:numPr>
        <w:spacing w:lineRule="auto" w:line="259" w:before="0" w:after="160"/>
        <w:jc w:val="left"/>
        <w:rPr>
          <w:sz w:val="22"/>
          <w:szCs w:val="22"/>
        </w:rPr>
      </w:pPr>
      <w:r>
        <w:rPr>
          <w:sz w:val="22"/>
          <w:szCs w:val="22"/>
        </w:rPr>
        <w:t>Претензий по техническому состоянию и комплектации Имущества Покупатель не имеет.</w:t>
      </w:r>
    </w:p>
    <w:p>
      <w:pPr>
        <w:pStyle w:val="Normal"/>
        <w:numPr>
          <w:ilvl w:val="0"/>
          <w:numId w:val="15"/>
        </w:numPr>
        <w:spacing w:lineRule="auto" w:line="259" w:before="0" w:after="16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Настоящий Акт приема-передачи Имущества составлен в 3 (Трех) подлинных экземплярах, имеющих равную юридическую силу, по 1 (Одному) экземпляру для каждой из Сторон, и 1 (Один) экземпляр для органа, осуществляющего государственную регистрацию Имущества. </w:t>
      </w:r>
    </w:p>
    <w:p>
      <w:pPr>
        <w:pStyle w:val="Normal"/>
        <w:spacing w:before="0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hd w:val="clear" w:color="auto" w:fill="FFFFFF"/>
        <w:spacing w:before="0" w:after="0"/>
        <w:jc w:val="center"/>
        <w:rPr>
          <w:rFonts w:eastAsia="A"/>
          <w:b/>
          <w:color w:val="000000"/>
          <w:spacing w:val="-4"/>
          <w:sz w:val="22"/>
          <w:szCs w:val="22"/>
        </w:rPr>
      </w:pPr>
      <w:r>
        <w:rPr>
          <w:rFonts w:eastAsia="A"/>
          <w:b/>
          <w:color w:val="000000"/>
          <w:spacing w:val="-4"/>
          <w:sz w:val="22"/>
          <w:szCs w:val="22"/>
        </w:rPr>
        <w:t>Подписи Сторон:</w:t>
      </w:r>
    </w:p>
    <w:p>
      <w:pPr>
        <w:pStyle w:val="Normal"/>
        <w:shd w:val="clear" w:color="auto" w:fill="FFFFFF"/>
        <w:spacing w:before="0" w:after="0"/>
        <w:jc w:val="center"/>
        <w:rPr>
          <w:rFonts w:eastAsia="A"/>
          <w:b/>
          <w:color w:val="000000"/>
          <w:spacing w:val="-4"/>
          <w:sz w:val="22"/>
          <w:szCs w:val="22"/>
        </w:rPr>
      </w:pPr>
      <w:r>
        <w:rPr>
          <w:rFonts w:eastAsia="A"/>
          <w:b/>
          <w:color w:val="000000"/>
          <w:spacing w:val="-4"/>
          <w:sz w:val="22"/>
          <w:szCs w:val="22"/>
        </w:rPr>
      </w:r>
    </w:p>
    <w:tbl>
      <w:tblPr>
        <w:tblW w:w="1020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5453"/>
        <w:gridCol w:w="4751"/>
      </w:tblGrid>
      <w:tr>
        <w:trPr>
          <w:trHeight w:val="515" w:hRule="atLeast"/>
        </w:trPr>
        <w:tc>
          <w:tcPr>
            <w:tcW w:w="5453" w:type="dxa"/>
            <w:tcBorders/>
          </w:tcPr>
          <w:p>
            <w:pPr>
              <w:pStyle w:val="Normal"/>
              <w:widowControl w:val="false"/>
              <w:spacing w:lineRule="exact" w:line="278"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Продавец:</w:t>
            </w:r>
          </w:p>
          <w:p>
            <w:pPr>
              <w:pStyle w:val="Normal"/>
              <w:widowControl w:val="false"/>
              <w:spacing w:lineRule="exact" w:line="278"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exact" w:line="278"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4751" w:type="dxa"/>
            <w:tcBorders/>
          </w:tcPr>
          <w:p>
            <w:pPr>
              <w:pStyle w:val="Normal"/>
              <w:widowControl w:val="false"/>
              <w:spacing w:lineRule="exact" w:line="278" w:before="0" w:after="0"/>
              <w:ind w:right="-1312" w:hanging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Покупатель:</w:t>
            </w:r>
          </w:p>
          <w:p>
            <w:pPr>
              <w:pStyle w:val="Normal"/>
              <w:widowControl w:val="false"/>
              <w:spacing w:lineRule="exact" w:line="278" w:before="0" w:after="0"/>
              <w:ind w:right="-1312" w:hanging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exact" w:line="278" w:before="0" w:after="0"/>
              <w:ind w:right="-1312" w:hanging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515" w:hRule="atLeast"/>
        </w:trPr>
        <w:tc>
          <w:tcPr>
            <w:tcW w:w="5453" w:type="dxa"/>
            <w:tcBorders/>
          </w:tcPr>
          <w:p>
            <w:pPr>
              <w:pStyle w:val="Normal"/>
              <w:widowControl w:val="false"/>
              <w:spacing w:lineRule="exact" w:line="278" w:before="0" w:after="0"/>
              <w:jc w:val="left"/>
              <w:rPr>
                <w:rFonts w:eastAsia="A"/>
                <w:b/>
                <w:color w:val="000000"/>
                <w:spacing w:val="-4"/>
                <w:sz w:val="22"/>
                <w:szCs w:val="22"/>
              </w:rPr>
            </w:pPr>
            <w:r>
              <w:rPr>
                <w:rFonts w:eastAsia="A"/>
                <w:b/>
                <w:color w:val="000000"/>
                <w:spacing w:val="-4"/>
                <w:sz w:val="22"/>
                <w:szCs w:val="22"/>
              </w:rPr>
              <w:t>_____________________/____________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rFonts w:eastAsia="A"/>
                <w:b/>
                <w:color w:val="000000"/>
                <w:spacing w:val="-4"/>
                <w:sz w:val="22"/>
                <w:szCs w:val="22"/>
              </w:rPr>
              <w:t>/</w:t>
            </w:r>
          </w:p>
        </w:tc>
        <w:tc>
          <w:tcPr>
            <w:tcW w:w="4751" w:type="dxa"/>
            <w:tcBorders/>
          </w:tcPr>
          <w:p>
            <w:pPr>
              <w:pStyle w:val="Normal"/>
              <w:widowControl w:val="false"/>
              <w:spacing w:lineRule="exact" w:line="278" w:before="0" w:after="0"/>
              <w:jc w:val="left"/>
              <w:rPr>
                <w:rFonts w:eastAsia="A"/>
                <w:b/>
                <w:color w:val="000000"/>
                <w:spacing w:val="-4"/>
                <w:sz w:val="22"/>
                <w:szCs w:val="22"/>
              </w:rPr>
            </w:pPr>
            <w:r>
              <w:rPr>
                <w:rFonts w:eastAsia="A"/>
                <w:b/>
                <w:color w:val="000000"/>
                <w:spacing w:val="-4"/>
                <w:sz w:val="22"/>
                <w:szCs w:val="22"/>
              </w:rPr>
              <w:t>_____________________/____________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rFonts w:eastAsia="A"/>
                <w:b/>
                <w:color w:val="000000"/>
                <w:spacing w:val="-4"/>
                <w:sz w:val="22"/>
                <w:szCs w:val="22"/>
              </w:rPr>
              <w:t>/</w:t>
            </w:r>
          </w:p>
        </w:tc>
      </w:tr>
      <w:tr>
        <w:trPr>
          <w:trHeight w:val="249" w:hRule="atLeast"/>
        </w:trPr>
        <w:tc>
          <w:tcPr>
            <w:tcW w:w="5453" w:type="dxa"/>
            <w:tcBorders/>
          </w:tcPr>
          <w:p>
            <w:pPr>
              <w:pStyle w:val="Normal"/>
              <w:widowControl w:val="false"/>
              <w:spacing w:lineRule="exact" w:line="278" w:before="0" w:after="0"/>
              <w:jc w:val="left"/>
              <w:rPr>
                <w:rFonts w:eastAsia="A"/>
                <w:color w:val="000000"/>
                <w:spacing w:val="-4"/>
                <w:sz w:val="22"/>
                <w:szCs w:val="22"/>
              </w:rPr>
            </w:pPr>
            <w:r>
              <w:rPr>
                <w:rFonts w:eastAsia="A"/>
                <w:color w:val="000000"/>
                <w:spacing w:val="-4"/>
                <w:sz w:val="22"/>
                <w:szCs w:val="22"/>
              </w:rPr>
              <w:t xml:space="preserve">                                   </w:t>
            </w:r>
            <w:r>
              <w:rPr>
                <w:rFonts w:eastAsia="A"/>
                <w:color w:val="000000"/>
                <w:spacing w:val="-4"/>
                <w:sz w:val="22"/>
                <w:szCs w:val="22"/>
              </w:rPr>
              <w:t>М.П.</w:t>
            </w:r>
          </w:p>
        </w:tc>
        <w:tc>
          <w:tcPr>
            <w:tcW w:w="4751" w:type="dxa"/>
            <w:tcBorders/>
          </w:tcPr>
          <w:p>
            <w:pPr>
              <w:pStyle w:val="Normal"/>
              <w:widowControl w:val="false"/>
              <w:spacing w:lineRule="exact" w:line="278" w:before="0" w:after="0"/>
              <w:jc w:val="left"/>
              <w:rPr>
                <w:rFonts w:eastAsia="A"/>
                <w:color w:val="000000"/>
                <w:spacing w:val="-4"/>
                <w:sz w:val="22"/>
                <w:szCs w:val="22"/>
              </w:rPr>
            </w:pPr>
            <w:r>
              <w:rPr>
                <w:rFonts w:eastAsia="A"/>
                <w:color w:val="000000"/>
                <w:spacing w:val="-4"/>
                <w:sz w:val="22"/>
                <w:szCs w:val="22"/>
              </w:rPr>
              <w:t xml:space="preserve">                                   </w:t>
            </w:r>
            <w:r>
              <w:rPr>
                <w:rFonts w:eastAsia="A"/>
                <w:color w:val="000000"/>
                <w:spacing w:val="-4"/>
                <w:sz w:val="22"/>
                <w:szCs w:val="22"/>
              </w:rPr>
              <w:t>М.П.</w:t>
            </w:r>
          </w:p>
        </w:tc>
      </w:tr>
    </w:tbl>
    <w:p>
      <w:pPr>
        <w:pStyle w:val="Normal"/>
        <w:spacing w:before="0"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uto" w:line="259" w:before="0" w:after="160"/>
        <w:jc w:val="left"/>
        <w:rPr>
          <w:rFonts w:ascii="Calibri" w:hAnsi="Calibri" w:eastAsia="Calibri"/>
          <w:sz w:val="22"/>
          <w:szCs w:val="22"/>
          <w:lang w:eastAsia="en-US"/>
        </w:rPr>
      </w:pPr>
      <w:r>
        <w:rPr/>
      </w:r>
    </w:p>
    <w:sectPr>
      <w:footerReference w:type="default" r:id="rId2"/>
      <w:footerReference w:type="first" r:id="rId3"/>
      <w:type w:val="nextPage"/>
      <w:pgSz w:w="11906" w:h="16838"/>
      <w:pgMar w:left="1134" w:right="567" w:gutter="0" w:header="0" w:top="851" w:footer="737" w:bottom="1418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neva CY">
    <w:charset w:val="01"/>
    <w:family w:val="roman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567"/>
        <w:tab w:val="right" w:pos="10260" w:leader="none"/>
      </w:tabs>
      <w:spacing w:before="120" w:after="0"/>
      <w:jc w:val="right"/>
      <w:rPr>
        <w:i/>
        <w:i/>
        <w:sz w:val="24"/>
        <w:szCs w:val="24"/>
      </w:rPr>
    </w:pPr>
    <w:r>
      <w:rPr>
        <w:sz w:val="20"/>
      </w:rPr>
      <w:tab/>
    </w:r>
    <w:r>
      <w:rPr>
        <w:i/>
        <w:sz w:val="24"/>
        <w:szCs w:val="24"/>
      </w:rPr>
      <w:t xml:space="preserve">стр. </w:t>
    </w:r>
    <w:r>
      <w:rPr>
        <w:i/>
        <w:sz w:val="24"/>
        <w:szCs w:val="24"/>
      </w:rPr>
      <w:fldChar w:fldCharType="begin"/>
    </w:r>
    <w:r>
      <w:rPr>
        <w:sz w:val="24"/>
        <w:i/>
        <w:szCs w:val="24"/>
      </w:rPr>
      <w:instrText xml:space="preserve"> PAGE </w:instrText>
    </w:r>
    <w:r>
      <w:rPr>
        <w:sz w:val="24"/>
        <w:i/>
        <w:szCs w:val="24"/>
      </w:rPr>
      <w:fldChar w:fldCharType="separate"/>
    </w:r>
    <w:r>
      <w:rPr>
        <w:sz w:val="24"/>
        <w:i/>
        <w:szCs w:val="24"/>
      </w:rPr>
      <w:t>6</w:t>
    </w:r>
    <w:r>
      <w:rPr>
        <w:sz w:val="24"/>
        <w:i/>
        <w:szCs w:val="24"/>
      </w:rPr>
      <w:fldChar w:fldCharType="end"/>
    </w:r>
    <w:r>
      <w:rPr>
        <w:i/>
        <w:sz w:val="24"/>
        <w:szCs w:val="24"/>
      </w:rPr>
      <w:t xml:space="preserve"> из </w:t>
    </w:r>
    <w:r>
      <w:rPr>
        <w:i/>
        <w:sz w:val="24"/>
        <w:szCs w:val="24"/>
      </w:rPr>
      <w:fldChar w:fldCharType="begin"/>
    </w:r>
    <w:r>
      <w:rPr>
        <w:sz w:val="24"/>
        <w:i/>
        <w:szCs w:val="24"/>
      </w:rPr>
      <w:instrText xml:space="preserve"> NUMPAGES </w:instrText>
    </w:r>
    <w:r>
      <w:rPr>
        <w:sz w:val="24"/>
        <w:i/>
        <w:szCs w:val="24"/>
      </w:rPr>
      <w:fldChar w:fldCharType="separate"/>
    </w:r>
    <w:r>
      <w:rPr>
        <w:sz w:val="24"/>
        <w:i/>
        <w:szCs w:val="24"/>
      </w:rPr>
      <w:t>6</w:t>
    </w:r>
    <w:r>
      <w:rPr>
        <w:sz w:val="24"/>
        <w:i/>
        <w:szCs w:val="24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567"/>
        <w:tab w:val="right" w:pos="10260" w:leader="none"/>
      </w:tabs>
      <w:spacing w:before="120" w:after="0"/>
      <w:rPr>
        <w:sz w:val="20"/>
      </w:rPr>
    </w:pPr>
    <w:r>
      <w:rPr>
        <w:sz w:val="20"/>
      </w:rPr>
      <w:tab/>
    </w:r>
    <w:r>
      <w:rPr>
        <w:i/>
        <w:sz w:val="24"/>
        <w:szCs w:val="24"/>
      </w:rPr>
      <w:t xml:space="preserve">стр. </w:t>
    </w:r>
    <w:r>
      <w:rPr>
        <w:i/>
        <w:sz w:val="24"/>
        <w:szCs w:val="24"/>
      </w:rPr>
      <w:fldChar w:fldCharType="begin"/>
    </w:r>
    <w:r>
      <w:rPr>
        <w:sz w:val="24"/>
        <w:i/>
        <w:szCs w:val="24"/>
      </w:rPr>
      <w:instrText xml:space="preserve"> PAGE </w:instrText>
    </w:r>
    <w:r>
      <w:rPr>
        <w:sz w:val="24"/>
        <w:i/>
        <w:szCs w:val="24"/>
      </w:rPr>
      <w:fldChar w:fldCharType="separate"/>
    </w:r>
    <w:r>
      <w:rPr>
        <w:sz w:val="24"/>
        <w:i/>
        <w:szCs w:val="24"/>
      </w:rPr>
      <w:t>5</w:t>
    </w:r>
    <w:r>
      <w:rPr>
        <w:sz w:val="24"/>
        <w:i/>
        <w:szCs w:val="24"/>
      </w:rPr>
      <w:fldChar w:fldCharType="end"/>
    </w:r>
    <w:r>
      <w:rPr>
        <w:i/>
        <w:sz w:val="24"/>
        <w:szCs w:val="24"/>
      </w:rPr>
      <w:t xml:space="preserve"> из </w:t>
    </w:r>
    <w:r>
      <w:rPr>
        <w:i/>
        <w:sz w:val="24"/>
        <w:szCs w:val="24"/>
      </w:rPr>
      <w:fldChar w:fldCharType="begin"/>
    </w:r>
    <w:r>
      <w:rPr>
        <w:sz w:val="24"/>
        <w:i/>
        <w:szCs w:val="24"/>
      </w:rPr>
      <w:instrText xml:space="preserve"> NUMPAGES </w:instrText>
    </w:r>
    <w:r>
      <w:rPr>
        <w:sz w:val="24"/>
        <w:i/>
        <w:szCs w:val="24"/>
      </w:rPr>
      <w:fldChar w:fldCharType="separate"/>
    </w:r>
    <w:r>
      <w:rPr>
        <w:sz w:val="24"/>
        <w:i/>
        <w:szCs w:val="24"/>
      </w:rPr>
      <w:t>6</w:t>
    </w:r>
    <w:r>
      <w:rPr>
        <w:sz w:val="24"/>
        <w:i/>
        <w:szCs w:val="24"/>
      </w:rPr>
      <w:fldChar w:fldCharType="end"/>
    </w:r>
  </w:p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pStyle w:val="Heading3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pStyle w:val="Heading4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/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/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/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/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/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/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5529"/>
        </w:tabs>
        <w:ind w:left="5529" w:hanging="1134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6379"/>
        </w:tabs>
        <w:ind w:left="6379" w:hanging="1134"/>
      </w:pPr>
      <w:rPr>
        <w:sz w:val="26"/>
        <w:i w:val="false"/>
        <w:b/>
        <w:szCs w:val="26"/>
      </w:rPr>
    </w:lvl>
    <w:lvl w:ilvl="2">
      <w:start w:val="1"/>
      <w:numFmt w:val="decimal"/>
      <w:lvlText w:val="%1.%2.%3"/>
      <w:lvlJc w:val="left"/>
      <w:pPr>
        <w:tabs>
          <w:tab w:val="num" w:pos="4962"/>
        </w:tabs>
        <w:ind w:left="4962" w:hanging="1134"/>
      </w:pPr>
      <w:rPr>
        <w:sz w:val="26"/>
        <w:i w:val="false"/>
        <w:b w:val="false"/>
        <w:szCs w:val="26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russianLower"/>
      <w:lvlText w:val="%5)"/>
      <w:lvlJc w:val="left"/>
      <w:pPr>
        <w:tabs>
          <w:tab w:val="num" w:pos="5104"/>
        </w:tabs>
        <w:ind w:left="5104" w:hanging="567"/>
      </w:pPr>
      <w:rPr>
        <w:i w:val="false"/>
        <w:b w:val="false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279"/>
      </w:pPr>
      <w:rPr/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u w:val="none"/>
        <w:b w:val="false"/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993"/>
        </w:tabs>
        <w:ind w:left="993" w:hanging="851"/>
      </w:pPr>
      <w:rPr>
        <w:dstrike w:val="false"/>
        <w:strike w:val="false"/>
        <w:b w:val="false"/>
      </w:rPr>
    </w:lvl>
    <w:lvl w:ilvl="3">
      <w:start w:val="1"/>
      <w:numFmt w:val="decimal"/>
      <w:lvlText w:val="%1.%2.%3.%4."/>
      <w:lvlJc w:val="left"/>
      <w:pPr>
        <w:tabs>
          <w:tab w:val="num" w:pos="1702"/>
        </w:tabs>
        <w:ind w:left="1702" w:hanging="567"/>
      </w:pPr>
      <w:rPr>
        <w:b w:val="false"/>
      </w:rPr>
    </w:lvl>
    <w:lvl w:ilvl="4">
      <w:start w:val="1"/>
      <w:numFmt w:val="lowerLetter"/>
      <w:lvlText w:val="%5)"/>
      <w:lvlJc w:val="left"/>
      <w:pPr>
        <w:tabs>
          <w:tab w:val="num" w:pos="1576"/>
        </w:tabs>
        <w:ind w:left="1576" w:hanging="1008"/>
      </w:pPr>
      <w:rPr/>
    </w:lvl>
    <w:lvl w:ilvl="5">
      <w:start w:val="1"/>
      <w:numFmt w:val="decimal"/>
      <w:lvlText w:val="%1.%2.%3.%4.%5.%6."/>
      <w:lvlJc w:val="left"/>
      <w:pPr>
        <w:tabs>
          <w:tab w:val="num" w:pos="2592"/>
        </w:tabs>
        <w:ind w:left="2592" w:hanging="1152"/>
      </w:pPr>
      <w:rPr/>
    </w:lvl>
    <w:lvl w:ilvl="6">
      <w:start w:val="1"/>
      <w:numFmt w:val="decimal"/>
      <w:lvlText w:val="%1.%2.%3.%4.%5.%6.%7."/>
      <w:lvlJc w:val="left"/>
      <w:pPr>
        <w:tabs>
          <w:tab w:val="num" w:pos="2736"/>
        </w:tabs>
        <w:ind w:left="2736" w:hanging="1296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024"/>
        </w:tabs>
        <w:ind w:left="3024" w:hanging="1584"/>
      </w:pPr>
      <w:rPr/>
    </w:lvl>
  </w:abstractNum>
  <w:abstractNum w:abstractNumId="5">
    <w:lvl w:ilvl="0">
      <w:start w:val="1"/>
      <w:numFmt w:val="decimal"/>
      <w:lvlText w:val="%1. "/>
      <w:lvlJc w:val="left"/>
      <w:pPr>
        <w:tabs>
          <w:tab w:val="num" w:pos="454"/>
        </w:tabs>
        <w:ind w:left="432" w:hanging="432"/>
      </w:pPr>
      <w:rPr/>
    </w:lvl>
    <w:lvl w:ilvl="1">
      <w:start w:val="1"/>
      <w:numFmt w:val="decimal"/>
      <w:lvlText w:val="%1.%2. "/>
      <w:lvlJc w:val="left"/>
      <w:pPr>
        <w:tabs>
          <w:tab w:val="num" w:pos="576"/>
        </w:tabs>
        <w:ind w:left="576" w:hanging="576"/>
      </w:pPr>
      <w:rPr/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/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/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/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/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3900"/>
        </w:tabs>
        <w:ind w:left="390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  <w:rPr/>
    </w:lvl>
    <w:lvl w:ilvl="3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  <w:rPr/>
    </w:lvl>
    <w:lvl w:ilvl="6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  <w:rPr/>
    </w:lvl>
  </w:abstractNum>
  <w:abstractNum w:abstractNumId="7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8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9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0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6"/>
    <w:lvlOverride w:ilvl="0">
      <w:startOverride w:val="1"/>
    </w:lvlOverride>
  </w:num>
  <w:num w:numId="12">
    <w:abstractNumId w:val="7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8"/>
  </w:num>
  <w:num w:numId="15">
    <w:abstractNumId w:val="8"/>
  </w:num>
</w:numbering>
</file>

<file path=word/settings.xml><?xml version="1.0" encoding="utf-8"?>
<w:settings xmlns:w="http://schemas.openxmlformats.org/wordprocessingml/2006/main">
  <w:zoom w:percent="100"/>
  <w:embedSystemFonts/>
  <w:defaultTabStop w:val="567"/>
  <w:autoHyphenation w:val="true"/>
  <w:doNotHyphenateCaps/>
  <w:hyphenationZone w:val="357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6"/>
        <w:szCs w:val="26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99" w:semiHidden="1" w:unhideWhenUsed="1"/>
    <w:lsdException w:name="annotation text" w:uiPriority="99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uiPriority="99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0426c"/>
    <w:pPr>
      <w:widowControl/>
      <w:suppressAutoHyphens w:val="true"/>
      <w:bidi w:val="0"/>
      <w:spacing w:before="120" w:after="0"/>
      <w:jc w:val="both"/>
    </w:pPr>
    <w:rPr>
      <w:rFonts w:ascii="Times New Roman" w:hAnsi="Times New Roman" w:eastAsia="Times New Roman" w:cs="Times New Roman"/>
      <w:color w:val="auto"/>
      <w:kern w:val="0"/>
      <w:sz w:val="26"/>
      <w:szCs w:val="26"/>
      <w:lang w:val="ru-RU" w:eastAsia="ru-RU" w:bidi="ar-SA"/>
    </w:rPr>
  </w:style>
  <w:style w:type="paragraph" w:styleId="Heading1">
    <w:name w:val="Heading 1"/>
    <w:basedOn w:val="Normal"/>
    <w:next w:val="Normal"/>
    <w:qFormat/>
    <w:rsid w:val="001b3984"/>
    <w:pPr>
      <w:keepNext w:val="true"/>
      <w:keepLines/>
      <w:pageBreakBefore/>
      <w:tabs>
        <w:tab w:val="clear" w:pos="567"/>
        <w:tab w:val="left" w:pos="1134" w:leader="none"/>
      </w:tabs>
      <w:suppressAutoHyphens w:val="true"/>
      <w:spacing w:before="480" w:after="240"/>
      <w:ind w:left="1134" w:hanging="0"/>
      <w:jc w:val="left"/>
      <w:outlineLvl w:val="0"/>
    </w:pPr>
    <w:rPr>
      <w:rFonts w:ascii="Arial" w:hAnsi="Arial"/>
      <w:b/>
      <w:kern w:val="2"/>
      <w:sz w:val="40"/>
    </w:rPr>
  </w:style>
  <w:style w:type="paragraph" w:styleId="Heading2">
    <w:name w:val="Heading 2"/>
    <w:basedOn w:val="Normal"/>
    <w:next w:val="Normal"/>
    <w:link w:val="24"/>
    <w:qFormat/>
    <w:rsid w:val="001b3984"/>
    <w:pPr>
      <w:keepNext w:val="true"/>
      <w:numPr>
        <w:ilvl w:val="1"/>
        <w:numId w:val="3"/>
      </w:numPr>
      <w:tabs>
        <w:tab w:val="clear" w:pos="567"/>
        <w:tab w:val="left" w:pos="1560" w:leader="none"/>
      </w:tabs>
      <w:suppressAutoHyphens w:val="true"/>
      <w:spacing w:before="360" w:after="120"/>
      <w:ind w:left="1560" w:hanging="0"/>
      <w:jc w:val="left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uppressAutoHyphens w:val="true"/>
      <w:spacing w:before="120" w:after="120"/>
      <w:jc w:val="left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567"/>
        <w:tab w:val="left" w:pos="1134" w:leader="none"/>
      </w:tabs>
      <w:suppressAutoHyphens w:val="true"/>
      <w:spacing w:before="240" w:after="12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2"/>
      </w:numPr>
      <w:tabs>
        <w:tab w:val="clear" w:pos="567"/>
        <w:tab w:val="left" w:pos="360" w:leader="none"/>
      </w:tabs>
      <w:suppressAutoHyphens w:val="true"/>
      <w:spacing w:before="60" w:after="0"/>
      <w:ind w:left="0" w:hanging="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widowControl w:val="false"/>
      <w:numPr>
        <w:ilvl w:val="5"/>
        <w:numId w:val="2"/>
      </w:numPr>
      <w:tabs>
        <w:tab w:val="clear" w:pos="567"/>
        <w:tab w:val="left" w:pos="360" w:leader="none"/>
      </w:tabs>
      <w:suppressAutoHyphens w:val="true"/>
      <w:spacing w:before="240" w:after="60"/>
      <w:ind w:left="0" w:hanging="0"/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pPr>
      <w:widowControl w:val="false"/>
      <w:numPr>
        <w:ilvl w:val="6"/>
        <w:numId w:val="2"/>
      </w:numPr>
      <w:tabs>
        <w:tab w:val="clear" w:pos="567"/>
        <w:tab w:val="left" w:pos="360" w:leader="none"/>
      </w:tabs>
      <w:suppressAutoHyphens w:val="true"/>
      <w:spacing w:before="240" w:after="60"/>
      <w:ind w:left="0" w:hanging="0"/>
      <w:outlineLvl w:val="6"/>
    </w:pPr>
    <w:rPr/>
  </w:style>
  <w:style w:type="paragraph" w:styleId="Heading8">
    <w:name w:val="Heading 8"/>
    <w:basedOn w:val="Normal"/>
    <w:next w:val="Normal"/>
    <w:qFormat/>
    <w:pPr>
      <w:widowControl w:val="false"/>
      <w:numPr>
        <w:ilvl w:val="7"/>
        <w:numId w:val="2"/>
      </w:numPr>
      <w:tabs>
        <w:tab w:val="clear" w:pos="567"/>
        <w:tab w:val="left" w:pos="360" w:leader="none"/>
      </w:tabs>
      <w:suppressAutoHyphens w:val="true"/>
      <w:spacing w:before="240" w:after="60"/>
      <w:ind w:left="0" w:hanging="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widowControl w:val="false"/>
      <w:numPr>
        <w:ilvl w:val="8"/>
        <w:numId w:val="2"/>
      </w:numPr>
      <w:tabs>
        <w:tab w:val="clear" w:pos="567"/>
        <w:tab w:val="left" w:pos="360" w:leader="none"/>
      </w:tabs>
      <w:suppressAutoHyphens w:val="true"/>
      <w:spacing w:before="240" w:after="60"/>
      <w:ind w:left="0" w:hanging="0"/>
      <w:outlineLvl w:val="8"/>
    </w:pPr>
    <w:rPr>
      <w:rFonts w:ascii="Arial" w:hAnsi="Arial"/>
      <w:sz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4" w:customStyle="1">
    <w:name w:val="Заголовок 2 Знак4"/>
    <w:qFormat/>
    <w:rsid w:val="001d54b3"/>
    <w:rPr>
      <w:b/>
      <w:sz w:val="32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Style">
    <w:name w:val="Символ сноски"/>
    <w:uiPriority w:val="99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qFormat/>
    <w:rPr>
      <w:rFonts w:ascii="Times New Roman" w:hAnsi="Times New Roman"/>
      <w:sz w:val="20"/>
    </w:rPr>
  </w:style>
  <w:style w:type="character" w:styleId="FollowedHyperlink">
    <w:name w:val="FollowedHyperlink"/>
    <w:rPr>
      <w:color w:val="800080"/>
      <w:u w:val="single"/>
    </w:rPr>
  </w:style>
  <w:style w:type="character" w:styleId="Style1" w:customStyle="1">
    <w:name w:val="Текст сноски Знак"/>
    <w:uiPriority w:val="99"/>
    <w:qFormat/>
    <w:rsid w:val="0006354d"/>
    <w:rPr/>
  </w:style>
  <w:style w:type="character" w:styleId="2" w:customStyle="1">
    <w:name w:val="Пункт Знак2"/>
    <w:link w:val="Style24"/>
    <w:qFormat/>
    <w:rsid w:val="007d5454"/>
    <w:rPr/>
  </w:style>
  <w:style w:type="character" w:styleId="Style2" w:customStyle="1">
    <w:name w:val="Пункт Знак"/>
    <w:qFormat/>
    <w:rPr>
      <w:sz w:val="28"/>
      <w:lang w:val="ru-RU" w:eastAsia="ru-RU" w:bidi="ar-SA"/>
    </w:rPr>
  </w:style>
  <w:style w:type="character" w:styleId="1" w:customStyle="1">
    <w:name w:val="Подпункт Знак1"/>
    <w:link w:val="Style25"/>
    <w:qFormat/>
    <w:rsid w:val="00c22e8e"/>
    <w:rPr/>
  </w:style>
  <w:style w:type="character" w:styleId="Style3" w:customStyle="1">
    <w:name w:val="Подпункт Знак"/>
    <w:qFormat/>
    <w:rPr>
      <w:sz w:val="28"/>
      <w:lang w:val="ru-RU" w:eastAsia="ru-RU" w:bidi="ar-SA"/>
    </w:rPr>
  </w:style>
  <w:style w:type="character" w:styleId="Style4" w:customStyle="1">
    <w:name w:val="комментарий"/>
    <w:qFormat/>
    <w:rsid w:val="001b3984"/>
    <w:rPr>
      <w:b/>
      <w:i/>
      <w:shd w:fill="FFFF99" w:val="clear"/>
    </w:rPr>
  </w:style>
  <w:style w:type="character" w:styleId="21" w:customStyle="1">
    <w:name w:val="Пункт2 Знак"/>
    <w:link w:val="211"/>
    <w:qFormat/>
    <w:rsid w:val="007e299e"/>
    <w:rPr>
      <w:b/>
    </w:rPr>
  </w:style>
  <w:style w:type="character" w:styleId="Style5" w:customStyle="1">
    <w:name w:val="Подподпункт Знак"/>
    <w:link w:val="Style26"/>
    <w:qFormat/>
    <w:locked/>
    <w:rsid w:val="001d54b3"/>
    <w:rPr/>
  </w:style>
  <w:style w:type="character" w:styleId="Style6" w:customStyle="1">
    <w:name w:val="Текст выноски Знак"/>
    <w:link w:val="BalloonText"/>
    <w:uiPriority w:val="99"/>
    <w:semiHidden/>
    <w:qFormat/>
    <w:locked/>
    <w:rsid w:val="00a633f7"/>
    <w:rPr>
      <w:rFonts w:ascii="Tahoma" w:hAnsi="Tahoma" w:cs="Tahoma"/>
      <w:sz w:val="16"/>
      <w:szCs w:val="16"/>
    </w:rPr>
  </w:style>
  <w:style w:type="character" w:styleId="Style7" w:customStyle="1">
    <w:name w:val="Основной текст Знак"/>
    <w:qFormat/>
    <w:rsid w:val="009b632e"/>
    <w:rPr>
      <w:sz w:val="28"/>
      <w:szCs w:val="24"/>
    </w:rPr>
  </w:style>
  <w:style w:type="character" w:styleId="Style8" w:customStyle="1">
    <w:name w:val="Текст примечания Знак"/>
    <w:link w:val="Annotationtext"/>
    <w:uiPriority w:val="99"/>
    <w:qFormat/>
    <w:locked/>
    <w:rsid w:val="00c32d67"/>
    <w:rPr/>
  </w:style>
  <w:style w:type="character" w:styleId="11" w:customStyle="1">
    <w:name w:val="Пункт Знак1"/>
    <w:uiPriority w:val="99"/>
    <w:qFormat/>
    <w:rPr>
      <w:sz w:val="28"/>
      <w:lang w:val="ru-RU" w:eastAsia="ru-RU" w:bidi="ar-SA"/>
    </w:rPr>
  </w:style>
  <w:style w:type="character" w:styleId="Annotationreference">
    <w:name w:val="annotation reference"/>
    <w:uiPriority w:val="99"/>
    <w:qFormat/>
    <w:rPr>
      <w:sz w:val="16"/>
    </w:rPr>
  </w:style>
  <w:style w:type="character" w:styleId="Style9" w:customStyle="1">
    <w:name w:val="Заголовок Знак"/>
    <w:qFormat/>
    <w:rsid w:val="00b12101"/>
    <w:rPr>
      <w:sz w:val="24"/>
      <w:szCs w:val="24"/>
      <w:lang w:val="x-none" w:eastAsia="x-none"/>
    </w:rPr>
  </w:style>
  <w:style w:type="character" w:styleId="FontStyle29" w:customStyle="1">
    <w:name w:val="Font Style29"/>
    <w:uiPriority w:val="99"/>
    <w:qFormat/>
    <w:rsid w:val="00794ddd"/>
    <w:rPr>
      <w:rFonts w:ascii="Times New Roman" w:hAnsi="Times New Roman" w:cs="Times New Roman"/>
      <w:color w:val="000000"/>
      <w:sz w:val="24"/>
      <w:szCs w:val="24"/>
    </w:rPr>
  </w:style>
  <w:style w:type="character" w:styleId="Style10" w:customStyle="1">
    <w:name w:val="Текст концевой сноски Знак"/>
    <w:qFormat/>
    <w:rsid w:val="006c5b2a"/>
    <w:rPr/>
  </w:style>
  <w:style w:type="character" w:styleId="Style11">
    <w:name w:val="Символ концевой сноски"/>
    <w:uiPriority w:val="99"/>
    <w:qFormat/>
    <w:rsid w:val="006c5b2a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qFormat/>
    <w:rsid w:val="005d368e"/>
    <w:rPr>
      <w:color w:val="808080"/>
    </w:rPr>
  </w:style>
  <w:style w:type="character" w:styleId="Blk1" w:customStyle="1">
    <w:name w:val="blk1"/>
    <w:basedOn w:val="DefaultParagraphFont"/>
    <w:qFormat/>
    <w:rsid w:val="00bf069e"/>
    <w:rPr>
      <w:vanish w:val="false"/>
    </w:rPr>
  </w:style>
  <w:style w:type="character" w:styleId="12" w:customStyle="1">
    <w:name w:val="Неразрешенное упоминание1"/>
    <w:basedOn w:val="DefaultParagraphFont"/>
    <w:uiPriority w:val="99"/>
    <w:semiHidden/>
    <w:unhideWhenUsed/>
    <w:qFormat/>
    <w:rsid w:val="00e50f4f"/>
    <w:rPr>
      <w:color w:val="808080"/>
      <w:shd w:fill="E6E6E6" w:val="clear"/>
    </w:rPr>
  </w:style>
  <w:style w:type="character" w:styleId="22" w:customStyle="1">
    <w:name w:val="Неразрешенное упоминание2"/>
    <w:basedOn w:val="DefaultParagraphFont"/>
    <w:uiPriority w:val="99"/>
    <w:semiHidden/>
    <w:unhideWhenUsed/>
    <w:qFormat/>
    <w:rsid w:val="00e50ef9"/>
    <w:rPr>
      <w:color w:val="808080"/>
      <w:shd w:fill="E6E6E6" w:val="clear"/>
    </w:rPr>
  </w:style>
  <w:style w:type="character" w:styleId="3" w:customStyle="1">
    <w:name w:val="Неразрешенное упоминание3"/>
    <w:basedOn w:val="DefaultParagraphFont"/>
    <w:uiPriority w:val="99"/>
    <w:semiHidden/>
    <w:unhideWhenUsed/>
    <w:qFormat/>
    <w:rsid w:val="0014217d"/>
    <w:rPr>
      <w:color w:val="808080"/>
      <w:shd w:fill="E6E6E6" w:val="clear"/>
    </w:rPr>
  </w:style>
  <w:style w:type="character" w:styleId="Style12" w:customStyle="1">
    <w:name w:val="Примечание Знак"/>
    <w:link w:val="Style32"/>
    <w:qFormat/>
    <w:rsid w:val="00345a72"/>
    <w:rPr>
      <w:spacing w:val="20"/>
      <w:sz w:val="24"/>
    </w:rPr>
  </w:style>
  <w:style w:type="character" w:styleId="4" w:customStyle="1">
    <w:name w:val="Неразрешенное упоминание4"/>
    <w:basedOn w:val="DefaultParagraphFont"/>
    <w:uiPriority w:val="99"/>
    <w:semiHidden/>
    <w:unhideWhenUsed/>
    <w:qFormat/>
    <w:rsid w:val="00b1261b"/>
    <w:rPr>
      <w:color w:val="808080"/>
      <w:shd w:fill="E6E6E6" w:val="clear"/>
    </w:rPr>
  </w:style>
  <w:style w:type="character" w:styleId="5" w:customStyle="1">
    <w:name w:val="Неразрешенное упоминание5"/>
    <w:basedOn w:val="DefaultParagraphFont"/>
    <w:uiPriority w:val="99"/>
    <w:semiHidden/>
    <w:unhideWhenUsed/>
    <w:qFormat/>
    <w:rsid w:val="00a842f9"/>
    <w:rPr>
      <w:color w:val="808080"/>
      <w:shd w:fill="E6E6E6" w:val="clear"/>
    </w:rPr>
  </w:style>
  <w:style w:type="character" w:styleId="Style13" w:customStyle="1">
    <w:name w:val="Текст Знак"/>
    <w:basedOn w:val="DefaultParagraphFont"/>
    <w:link w:val="PlainText"/>
    <w:qFormat/>
    <w:rsid w:val="004251f3"/>
    <w:rPr>
      <w:rFonts w:ascii="Courier New" w:hAnsi="Courier New" w:cs="Courier New"/>
      <w:sz w:val="20"/>
      <w:szCs w:val="20"/>
    </w:rPr>
  </w:style>
  <w:style w:type="character" w:styleId="Style14">
    <w:name w:val="Ссылка указателя"/>
    <w:qFormat/>
    <w:rPr/>
  </w:style>
  <w:style w:type="character" w:styleId="23" w:customStyle="1">
    <w:name w:val="Пункт2"/>
    <w:link w:val="Style24"/>
    <w:qFormat/>
    <w:rsid w:val="007d5454"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7"/>
    <w:pPr>
      <w:tabs>
        <w:tab w:val="clear" w:pos="567"/>
        <w:tab w:val="right" w:pos="9360" w:leader="none"/>
      </w:tabs>
      <w:jc w:val="left"/>
    </w:pPr>
    <w:rPr>
      <w:szCs w:val="24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pPr>
      <w:pBdr>
        <w:bottom w:val="single" w:sz="4" w:space="1" w:color="000000"/>
      </w:pBdr>
      <w:tabs>
        <w:tab w:val="clear" w:pos="567"/>
        <w:tab w:val="center" w:pos="4153" w:leader="none"/>
        <w:tab w:val="right" w:pos="8306" w:leader="none"/>
      </w:tabs>
      <w:jc w:val="center"/>
    </w:pPr>
    <w:rPr>
      <w:i/>
      <w:sz w:val="20"/>
    </w:rPr>
  </w:style>
  <w:style w:type="paragraph" w:styleId="Footer">
    <w:name w:val="Footer"/>
    <w:basedOn w:val="Normal"/>
    <w:pPr>
      <w:tabs>
        <w:tab w:val="clear" w:pos="567"/>
        <w:tab w:val="center" w:pos="4253" w:leader="none"/>
        <w:tab w:val="right" w:pos="9356" w:leader="none"/>
      </w:tabs>
    </w:pPr>
    <w:rPr>
      <w:sz w:val="20"/>
    </w:rPr>
  </w:style>
  <w:style w:type="paragraph" w:styleId="TOC1">
    <w:name w:val="TOC 1"/>
    <w:basedOn w:val="Normal"/>
    <w:next w:val="Normal"/>
    <w:autoRedefine/>
    <w:uiPriority w:val="39"/>
    <w:rsid w:val="00a842f9"/>
    <w:pPr>
      <w:tabs>
        <w:tab w:val="clear" w:pos="567"/>
        <w:tab w:val="left" w:pos="540" w:leader="none"/>
        <w:tab w:val="right" w:pos="10195" w:leader="dot"/>
      </w:tabs>
      <w:spacing w:before="240" w:after="120"/>
      <w:ind w:left="539" w:right="1134" w:hanging="539"/>
      <w:jc w:val="left"/>
    </w:pPr>
    <w:rPr>
      <w:b/>
      <w:bCs/>
      <w:caps/>
    </w:rPr>
  </w:style>
  <w:style w:type="paragraph" w:styleId="TOC2">
    <w:name w:val="TOC 2"/>
    <w:basedOn w:val="Normal"/>
    <w:next w:val="Normal"/>
    <w:autoRedefine/>
    <w:uiPriority w:val="39"/>
    <w:rsid w:val="00a842f9"/>
    <w:pPr>
      <w:tabs>
        <w:tab w:val="clear" w:pos="567"/>
        <w:tab w:val="left" w:pos="1134" w:leader="none"/>
        <w:tab w:val="right" w:pos="10195" w:leader="dot"/>
      </w:tabs>
      <w:spacing w:before="120" w:after="60"/>
      <w:ind w:left="1134" w:right="845" w:hanging="595"/>
      <w:jc w:val="left"/>
    </w:pPr>
    <w:rPr>
      <w:b/>
      <w:sz w:val="24"/>
      <w:szCs w:val="32"/>
      <w:lang w:val="sr-CS"/>
    </w:rPr>
  </w:style>
  <w:style w:type="paragraph" w:styleId="TOC3">
    <w:name w:val="TOC 3"/>
    <w:basedOn w:val="Normal"/>
    <w:next w:val="Normal"/>
    <w:autoRedefine/>
    <w:uiPriority w:val="39"/>
    <w:rsid w:val="001d3d1b"/>
    <w:pPr>
      <w:tabs>
        <w:tab w:val="clear" w:pos="567"/>
        <w:tab w:val="left" w:pos="1980" w:leader="none"/>
        <w:tab w:val="right" w:pos="10195" w:leader="dot"/>
      </w:tabs>
      <w:spacing w:before="120" w:after="60"/>
      <w:ind w:left="1979" w:right="1134" w:hanging="902"/>
      <w:jc w:val="left"/>
    </w:pPr>
    <w:rPr>
      <w:iCs/>
      <w:sz w:val="24"/>
      <w:szCs w:val="24"/>
    </w:rPr>
  </w:style>
  <w:style w:type="paragraph" w:styleId="TOC4">
    <w:name w:val="TOC 4"/>
    <w:basedOn w:val="Normal"/>
    <w:next w:val="Normal"/>
    <w:autoRedefine/>
    <w:uiPriority w:val="39"/>
    <w:pPr>
      <w:tabs>
        <w:tab w:val="clear" w:pos="567"/>
        <w:tab w:val="left" w:pos="2268" w:leader="none"/>
        <w:tab w:val="right" w:pos="10195" w:leader="dot"/>
      </w:tabs>
      <w:spacing w:before="120" w:after="60"/>
      <w:ind w:left="2268" w:right="1134" w:hanging="567"/>
      <w:jc w:val="left"/>
    </w:pPr>
    <w:rPr>
      <w:sz w:val="24"/>
      <w:szCs w:val="24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/>
      <w:sz w:val="20"/>
    </w:rPr>
  </w:style>
  <w:style w:type="paragraph" w:styleId="Style18" w:customStyle="1">
    <w:name w:val="Таблица шапка"/>
    <w:basedOn w:val="Normal"/>
    <w:qFormat/>
    <w:pPr>
      <w:keepNext w:val="true"/>
      <w:spacing w:before="40" w:after="40"/>
      <w:ind w:left="57" w:right="57" w:hanging="0"/>
      <w:jc w:val="left"/>
    </w:pPr>
    <w:rPr>
      <w:sz w:val="22"/>
    </w:rPr>
  </w:style>
  <w:style w:type="paragraph" w:styleId="FootnoteText">
    <w:name w:val="Footnote Text"/>
    <w:basedOn w:val="Normal"/>
    <w:link w:val="Style1"/>
    <w:uiPriority w:val="99"/>
    <w:pPr/>
    <w:rPr>
      <w:sz w:val="20"/>
    </w:rPr>
  </w:style>
  <w:style w:type="paragraph" w:styleId="Style19" w:customStyle="1">
    <w:name w:val="Таблица текст"/>
    <w:basedOn w:val="Normal"/>
    <w:qFormat/>
    <w:pPr>
      <w:spacing w:before="40" w:after="40"/>
      <w:ind w:left="57" w:right="57" w:hanging="0"/>
      <w:jc w:val="left"/>
    </w:pPr>
    <w:rPr>
      <w:sz w:val="24"/>
    </w:rPr>
  </w:style>
  <w:style w:type="paragraph" w:styleId="Caption1">
    <w:name w:val="caption1"/>
    <w:basedOn w:val="Normal"/>
    <w:next w:val="Normal"/>
    <w:qFormat/>
    <w:pPr>
      <w:pageBreakBefore/>
      <w:suppressAutoHyphens w:val="true"/>
      <w:spacing w:before="120" w:after="120"/>
    </w:pPr>
    <w:rPr>
      <w:bCs/>
      <w:i/>
      <w:sz w:val="24"/>
    </w:rPr>
  </w:style>
  <w:style w:type="paragraph" w:styleId="TOC5">
    <w:name w:val="TOC 5"/>
    <w:basedOn w:val="Normal"/>
    <w:next w:val="Normal"/>
    <w:autoRedefine/>
    <w:uiPriority w:val="39"/>
    <w:pPr>
      <w:ind w:left="1120" w:hanging="0"/>
      <w:jc w:val="left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pPr>
      <w:ind w:left="1400" w:hanging="0"/>
      <w:jc w:val="left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pPr>
      <w:ind w:left="1680" w:hanging="0"/>
      <w:jc w:val="left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pPr>
      <w:ind w:left="1960" w:hanging="0"/>
      <w:jc w:val="left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pPr>
      <w:ind w:left="2240" w:hanging="0"/>
      <w:jc w:val="left"/>
    </w:pPr>
    <w:rPr>
      <w:sz w:val="18"/>
      <w:szCs w:val="18"/>
    </w:rPr>
  </w:style>
  <w:style w:type="paragraph" w:styleId="Style20" w:customStyle="1">
    <w:name w:val="Служебный"/>
    <w:basedOn w:val="Style21"/>
    <w:qFormat/>
    <w:pPr/>
    <w:rPr/>
  </w:style>
  <w:style w:type="paragraph" w:styleId="Style21" w:customStyle="1">
    <w:name w:val="Главы"/>
    <w:basedOn w:val="Style22"/>
    <w:next w:val="Normal"/>
    <w:qFormat/>
    <w:pPr>
      <w:pBdr>
        <w:bottom w:val="nil"/>
      </w:pBdr>
      <w:tabs>
        <w:tab w:val="clear" w:pos="567"/>
        <w:tab w:val="clear" w:pos="851"/>
      </w:tabs>
      <w:spacing w:lineRule="auto" w:line="360" w:before="1440" w:after="720"/>
      <w:ind w:left="0" w:right="0" w:hanging="0"/>
      <w:jc w:val="center"/>
    </w:pPr>
    <w:rPr>
      <w:spacing w:val="40"/>
      <w:sz w:val="44"/>
      <w:szCs w:val="44"/>
    </w:rPr>
  </w:style>
  <w:style w:type="paragraph" w:styleId="Style22" w:customStyle="1">
    <w:name w:val="Структура"/>
    <w:basedOn w:val="Normal"/>
    <w:qFormat/>
    <w:pPr>
      <w:pageBreakBefore/>
      <w:pBdr>
        <w:bottom w:val="thinThickSmallGap" w:sz="24" w:space="1" w:color="000000"/>
      </w:pBdr>
      <w:tabs>
        <w:tab w:val="left" w:pos="567" w:leader="none"/>
        <w:tab w:val="left" w:pos="851" w:leader="none"/>
      </w:tabs>
      <w:suppressAutoHyphens w:val="true"/>
      <w:spacing w:before="480" w:after="240"/>
      <w:ind w:left="567" w:right="2835" w:hanging="567"/>
      <w:jc w:val="left"/>
      <w:outlineLvl w:val="0"/>
    </w:pPr>
    <w:rPr>
      <w:rFonts w:ascii="Arial" w:hAnsi="Arial" w:cs="Arial"/>
      <w:b/>
      <w:caps/>
      <w:sz w:val="36"/>
      <w:szCs w:val="36"/>
    </w:rPr>
  </w:style>
  <w:style w:type="paragraph" w:styleId="Style23" w:customStyle="1">
    <w:name w:val="маркированный"/>
    <w:basedOn w:val="Normal"/>
    <w:semiHidden/>
    <w:qFormat/>
    <w:pPr>
      <w:tabs>
        <w:tab w:val="clear" w:pos="567"/>
        <w:tab w:val="left" w:pos="1701" w:leader="none"/>
      </w:tabs>
      <w:ind w:left="1701" w:hanging="567"/>
    </w:pPr>
    <w:rPr/>
  </w:style>
  <w:style w:type="paragraph" w:styleId="Style24" w:customStyle="1">
    <w:name w:val="Пункт"/>
    <w:basedOn w:val="Normal"/>
    <w:link w:val="2"/>
    <w:qFormat/>
    <w:rsid w:val="001b3984"/>
    <w:pPr>
      <w:numPr>
        <w:ilvl w:val="2"/>
        <w:numId w:val="3"/>
      </w:numPr>
    </w:pPr>
    <w:rPr/>
  </w:style>
  <w:style w:type="paragraph" w:styleId="Style25" w:customStyle="1">
    <w:name w:val="Подпункт"/>
    <w:basedOn w:val="Style24"/>
    <w:link w:val="1"/>
    <w:qFormat/>
    <w:rsid w:val="001b3984"/>
    <w:pPr>
      <w:numPr>
        <w:ilvl w:val="3"/>
      </w:numPr>
    </w:pPr>
    <w:rPr/>
  </w:style>
  <w:style w:type="paragraph" w:styleId="211">
    <w:name w:val="Пункт21"/>
    <w:basedOn w:val="Normal"/>
    <w:next w:val="Normal"/>
    <w:link w:val="24"/>
    <w:qFormat/>
    <w:rsid w:val="001b3984"/>
    <w:pPr>
      <w:keepNext w:val="true"/>
      <w:numPr>
        <w:ilvl w:val="1"/>
      </w:numPr>
      <w:tabs>
        <w:tab w:val="clear" w:pos="567"/>
        <w:tab w:val="left" w:pos="1560" w:leader="none"/>
      </w:tabs>
      <w:suppressAutoHyphens w:val="true"/>
      <w:spacing w:before="360" w:after="120"/>
      <w:ind w:left="1560" w:hanging="0"/>
      <w:jc w:val="left"/>
      <w:outlineLvl w:val="1"/>
    </w:pPr>
    <w:rPr>
      <w:b/>
      <w:sz w:val="32"/>
    </w:rPr>
  </w:style>
  <w:style w:type="paragraph" w:styleId="Style26" w:customStyle="1">
    <w:name w:val="Подподпункт"/>
    <w:basedOn w:val="Style25"/>
    <w:link w:val="Style5"/>
    <w:qFormat/>
    <w:pPr>
      <w:numPr>
        <w:ilvl w:val="4"/>
      </w:numPr>
    </w:pPr>
    <w:rPr/>
  </w:style>
  <w:style w:type="paragraph" w:styleId="ListNumber">
    <w:name w:val="List Number"/>
    <w:basedOn w:val="Normal"/>
    <w:qFormat/>
    <w:pPr>
      <w:tabs>
        <w:tab w:val="clear" w:pos="567"/>
        <w:tab w:val="left" w:pos="1134" w:leader="none"/>
      </w:tabs>
      <w:spacing w:before="60" w:after="0"/>
    </w:pPr>
    <w:rPr>
      <w:szCs w:val="24"/>
    </w:rPr>
  </w:style>
  <w:style w:type="paragraph" w:styleId="Style27" w:customStyle="1">
    <w:name w:val="Текст таблицы"/>
    <w:basedOn w:val="Normal"/>
    <w:semiHidden/>
    <w:qFormat/>
    <w:pPr>
      <w:spacing w:before="40" w:after="40"/>
      <w:ind w:left="57" w:right="57" w:hanging="0"/>
      <w:jc w:val="left"/>
    </w:pPr>
    <w:rPr>
      <w:sz w:val="24"/>
      <w:szCs w:val="24"/>
    </w:rPr>
  </w:style>
  <w:style w:type="paragraph" w:styleId="Style28" w:customStyle="1">
    <w:name w:val="Пункт б/н"/>
    <w:basedOn w:val="Normal"/>
    <w:qFormat/>
    <w:pPr>
      <w:tabs>
        <w:tab w:val="clear" w:pos="567"/>
        <w:tab w:val="left" w:pos="1134" w:leader="none"/>
      </w:tabs>
    </w:pPr>
    <w:rPr/>
  </w:style>
  <w:style w:type="paragraph" w:styleId="ListBullet">
    <w:name w:val="List Bullet"/>
    <w:basedOn w:val="Normal"/>
    <w:autoRedefine/>
    <w:qFormat/>
    <w:pPr>
      <w:tabs>
        <w:tab w:val="clear" w:pos="567"/>
        <w:tab w:val="left" w:pos="360" w:leader="none"/>
      </w:tabs>
      <w:ind w:left="360" w:hanging="360"/>
    </w:pPr>
    <w:rPr/>
  </w:style>
  <w:style w:type="paragraph" w:styleId="BalloonText">
    <w:name w:val="Balloon Text"/>
    <w:basedOn w:val="Normal"/>
    <w:link w:val="Style6"/>
    <w:uiPriority w:val="99"/>
    <w:semiHidden/>
    <w:qFormat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8"/>
    <w:uiPriority w:val="99"/>
    <w:qFormat/>
    <w:pPr/>
    <w:rPr>
      <w:sz w:val="20"/>
    </w:rPr>
  </w:style>
  <w:style w:type="paragraph" w:styleId="Annotationsubject">
    <w:name w:val="annotation subject"/>
    <w:basedOn w:val="Annotationtext"/>
    <w:next w:val="Annotationtext"/>
    <w:semiHidden/>
    <w:qFormat/>
    <w:pPr/>
    <w:rPr>
      <w:b/>
      <w:bCs/>
    </w:rPr>
  </w:style>
  <w:style w:type="paragraph" w:styleId="BodyText3">
    <w:name w:val="Body Text 3"/>
    <w:basedOn w:val="Normal"/>
    <w:qFormat/>
    <w:pPr>
      <w:spacing w:before="120" w:after="120"/>
    </w:pPr>
    <w:rPr>
      <w:sz w:val="16"/>
      <w:szCs w:val="16"/>
    </w:rPr>
  </w:style>
  <w:style w:type="paragraph" w:styleId="Style29" w:customStyle="1">
    <w:name w:val="Подподподподпункт"/>
    <w:basedOn w:val="Normal"/>
    <w:qFormat/>
    <w:pPr>
      <w:tabs>
        <w:tab w:val="clear" w:pos="567"/>
        <w:tab w:val="left" w:pos="2835" w:leader="none"/>
      </w:tabs>
      <w:ind w:left="2835" w:hanging="567"/>
    </w:pPr>
    <w:rPr/>
  </w:style>
  <w:style w:type="paragraph" w:styleId="Style30" w:customStyle="1">
    <w:name w:val="Подподподпункт"/>
    <w:basedOn w:val="Normal"/>
    <w:qFormat/>
    <w:pPr>
      <w:tabs>
        <w:tab w:val="clear" w:pos="567"/>
        <w:tab w:val="left" w:pos="2268" w:leader="none"/>
      </w:tabs>
      <w:ind w:left="2268" w:hanging="567"/>
    </w:pPr>
    <w:rPr/>
  </w:style>
  <w:style w:type="paragraph" w:styleId="BodyTextIndent">
    <w:name w:val="Body Text Indent"/>
    <w:basedOn w:val="Normal"/>
    <w:pPr>
      <w:ind w:firstLine="485"/>
    </w:pPr>
    <w:rPr>
      <w:i/>
      <w:color w:val="000000"/>
      <w:szCs w:val="28"/>
    </w:rPr>
  </w:style>
  <w:style w:type="paragraph" w:styleId="Title">
    <w:name w:val="Title"/>
    <w:basedOn w:val="Normal"/>
    <w:link w:val="Style9"/>
    <w:qFormat/>
    <w:rsid w:val="00b12101"/>
    <w:pPr>
      <w:jc w:val="center"/>
    </w:pPr>
    <w:rPr>
      <w:sz w:val="24"/>
      <w:szCs w:val="24"/>
      <w:lang w:val="x-none" w:eastAsia="x-none"/>
    </w:rPr>
  </w:style>
  <w:style w:type="paragraph" w:styleId="Normal1" w:customStyle="1">
    <w:name w:val="Normal Знак"/>
    <w:qFormat/>
    <w:rsid w:val="00b12101"/>
    <w:pPr>
      <w:widowControl w:val="false"/>
      <w:suppressAutoHyphens w:val="true"/>
      <w:bidi w:val="0"/>
      <w:snapToGrid w:val="false"/>
      <w:spacing w:lineRule="auto" w:line="300" w:before="220" w:after="0"/>
      <w:ind w:firstLine="2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6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b12101"/>
    <w:pPr>
      <w:spacing w:before="120" w:after="0"/>
      <w:ind w:left="720" w:hanging="0"/>
      <w:contextualSpacing/>
      <w:jc w:val="left"/>
    </w:pPr>
    <w:rPr>
      <w:rFonts w:ascii="Geneva CY" w:hAnsi="Geneva CY" w:eastAsia="Geneva"/>
      <w:sz w:val="24"/>
      <w:lang w:eastAsia="en-US"/>
    </w:rPr>
  </w:style>
  <w:style w:type="paragraph" w:styleId="31" w:customStyle="1">
    <w:name w:val="Основной текст3"/>
    <w:basedOn w:val="Normal"/>
    <w:qFormat/>
    <w:rsid w:val="00225238"/>
    <w:pPr>
      <w:shd w:val="clear" w:color="auto" w:fill="FFFFFF"/>
      <w:spacing w:lineRule="exact" w:line="192"/>
      <w:ind w:hanging="380"/>
      <w:jc w:val="right"/>
    </w:pPr>
    <w:rPr>
      <w:sz w:val="21"/>
      <w:szCs w:val="21"/>
    </w:rPr>
  </w:style>
  <w:style w:type="paragraph" w:styleId="Tableheader" w:customStyle="1">
    <w:name w:val="Table_header"/>
    <w:basedOn w:val="Normal"/>
    <w:qFormat/>
    <w:rsid w:val="001d54b3"/>
    <w:pPr/>
    <w:rPr>
      <w:b/>
      <w:sz w:val="20"/>
      <w:szCs w:val="24"/>
    </w:rPr>
  </w:style>
  <w:style w:type="paragraph" w:styleId="Tabletext" w:customStyle="1">
    <w:name w:val="Table_text"/>
    <w:basedOn w:val="Normal"/>
    <w:qFormat/>
    <w:rsid w:val="001d54b3"/>
    <w:pPr/>
    <w:rPr>
      <w:sz w:val="20"/>
      <w:szCs w:val="24"/>
    </w:rPr>
  </w:style>
  <w:style w:type="paragraph" w:styleId="Times12" w:customStyle="1">
    <w:name w:val="Times 12"/>
    <w:basedOn w:val="Normal"/>
    <w:qFormat/>
    <w:rsid w:val="007d41ef"/>
    <w:pPr>
      <w:overflowPunct w:val="true"/>
    </w:pPr>
    <w:rPr>
      <w:bCs/>
      <w:sz w:val="24"/>
      <w:szCs w:val="22"/>
    </w:rPr>
  </w:style>
  <w:style w:type="paragraph" w:styleId="ConsPlusNonformat" w:customStyle="1">
    <w:name w:val="ConsPlusNonformat"/>
    <w:uiPriority w:val="99"/>
    <w:qFormat/>
    <w:rsid w:val="00793eb5"/>
    <w:pPr>
      <w:widowControl/>
      <w:suppressAutoHyphens w:val="true"/>
      <w:bidi w:val="0"/>
      <w:spacing w:before="120" w:after="0"/>
      <w:jc w:val="both"/>
    </w:pPr>
    <w:rPr>
      <w:rFonts w:ascii="Courier New" w:hAnsi="Courier New" w:eastAsia="Times New Roman" w:cs="Courier New"/>
      <w:color w:val="auto"/>
      <w:kern w:val="0"/>
      <w:sz w:val="26"/>
      <w:szCs w:val="26"/>
      <w:lang w:val="ru-RU" w:eastAsia="ru-RU" w:bidi="ar-SA"/>
    </w:rPr>
  </w:style>
  <w:style w:type="paragraph" w:styleId="32" w:customStyle="1">
    <w:name w:val="Пункт_3"/>
    <w:basedOn w:val="Normal"/>
    <w:qFormat/>
    <w:rsid w:val="0003611d"/>
    <w:pPr>
      <w:tabs>
        <w:tab w:val="clear" w:pos="567"/>
        <w:tab w:val="left" w:pos="1134" w:leader="none"/>
      </w:tabs>
      <w:ind w:left="1134" w:hanging="1133"/>
    </w:pPr>
    <w:rPr/>
  </w:style>
  <w:style w:type="paragraph" w:styleId="EndnoteText">
    <w:name w:val="Endnote Text"/>
    <w:basedOn w:val="Normal"/>
    <w:link w:val="Style10"/>
    <w:rsid w:val="006c5b2a"/>
    <w:pPr/>
    <w:rPr>
      <w:sz w:val="20"/>
    </w:rPr>
  </w:style>
  <w:style w:type="paragraph" w:styleId="13" w:customStyle="1">
    <w:name w:val="Пункт1"/>
    <w:basedOn w:val="Normal"/>
    <w:qFormat/>
    <w:rsid w:val="00910068"/>
    <w:pPr>
      <w:numPr>
        <w:ilvl w:val="0"/>
        <w:numId w:val="4"/>
      </w:numPr>
      <w:spacing w:before="240" w:after="0"/>
      <w:jc w:val="center"/>
    </w:pPr>
    <w:rPr>
      <w:rFonts w:ascii="Arial" w:hAnsi="Arial"/>
      <w:b/>
      <w:szCs w:val="28"/>
    </w:rPr>
  </w:style>
  <w:style w:type="paragraph" w:styleId="Revision">
    <w:name w:val="Revision"/>
    <w:uiPriority w:val="99"/>
    <w:semiHidden/>
    <w:qFormat/>
    <w:rsid w:val="00e21873"/>
    <w:pPr>
      <w:widowControl/>
      <w:suppressAutoHyphens w:val="true"/>
      <w:bidi w:val="0"/>
      <w:spacing w:before="12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6"/>
      <w:lang w:val="ru-RU" w:eastAsia="ru-RU" w:bidi="ar-SA"/>
    </w:rPr>
  </w:style>
  <w:style w:type="paragraph" w:styleId="Stzag1" w:customStyle="1">
    <w:name w:val="st_zag1"/>
    <w:basedOn w:val="Normal"/>
    <w:next w:val="Normal"/>
    <w:qFormat/>
    <w:rsid w:val="00785c46"/>
    <w:pPr>
      <w:numPr>
        <w:ilvl w:val="0"/>
        <w:numId w:val="5"/>
      </w:numPr>
      <w:jc w:val="center"/>
    </w:pPr>
    <w:rPr>
      <w:rFonts w:ascii="Arial" w:hAnsi="Arial"/>
      <w:b/>
      <w:sz w:val="36"/>
      <w:szCs w:val="28"/>
    </w:rPr>
  </w:style>
  <w:style w:type="paragraph" w:styleId="Sttext12" w:customStyle="1">
    <w:name w:val="st_text12"/>
    <w:basedOn w:val="Normal"/>
    <w:qFormat/>
    <w:rsid w:val="00785c46"/>
    <w:pPr>
      <w:tabs>
        <w:tab w:val="clear" w:pos="567"/>
        <w:tab w:val="left" w:pos="576" w:leader="none"/>
      </w:tabs>
      <w:ind w:left="576" w:hanging="576"/>
    </w:pPr>
    <w:rPr>
      <w:szCs w:val="28"/>
    </w:rPr>
  </w:style>
  <w:style w:type="paragraph" w:styleId="Sttext123" w:customStyle="1">
    <w:name w:val="st_text123"/>
    <w:basedOn w:val="Normal"/>
    <w:qFormat/>
    <w:rsid w:val="00785c46"/>
    <w:pPr>
      <w:tabs>
        <w:tab w:val="clear" w:pos="567"/>
        <w:tab w:val="left" w:pos="720" w:leader="none"/>
      </w:tabs>
      <w:ind w:left="720" w:hanging="720"/>
    </w:pPr>
    <w:rPr>
      <w:szCs w:val="28"/>
    </w:rPr>
  </w:style>
  <w:style w:type="paragraph" w:styleId="Sttext1234" w:customStyle="1">
    <w:name w:val="st_text1234"/>
    <w:basedOn w:val="Normal"/>
    <w:qFormat/>
    <w:rsid w:val="00785c46"/>
    <w:pPr>
      <w:tabs>
        <w:tab w:val="clear" w:pos="567"/>
        <w:tab w:val="left" w:pos="864" w:leader="none"/>
      </w:tabs>
      <w:ind w:left="864" w:hanging="864"/>
    </w:pPr>
    <w:rPr>
      <w:szCs w:val="28"/>
    </w:rPr>
  </w:style>
  <w:style w:type="paragraph" w:styleId="14" w:customStyle="1">
    <w:name w:val="Заголовок1"/>
    <w:basedOn w:val="Normal"/>
    <w:qFormat/>
    <w:rsid w:val="00a633f7"/>
    <w:pPr>
      <w:tabs>
        <w:tab w:val="left" w:pos="567" w:leader="none"/>
      </w:tabs>
      <w:spacing w:before="240" w:after="0"/>
      <w:ind w:left="567" w:hanging="279"/>
      <w:jc w:val="center"/>
    </w:pPr>
    <w:rPr>
      <w:b/>
      <w:szCs w:val="28"/>
    </w:rPr>
  </w:style>
  <w:style w:type="paragraph" w:styleId="Style31" w:customStyle="1">
    <w:name w:val="русгидро п.п.п.п."/>
    <w:basedOn w:val="Normal"/>
    <w:qFormat/>
    <w:rsid w:val="00a633f7"/>
    <w:pPr>
      <w:tabs>
        <w:tab w:val="clear" w:pos="567"/>
        <w:tab w:val="left" w:pos="1843" w:leader="none"/>
        <w:tab w:val="left" w:pos="2269" w:leader="none"/>
      </w:tabs>
      <w:ind w:left="2269" w:hanging="567"/>
    </w:pPr>
    <w:rPr>
      <w:szCs w:val="28"/>
    </w:rPr>
  </w:style>
  <w:style w:type="paragraph" w:styleId="Style32" w:customStyle="1">
    <w:name w:val="Примечание"/>
    <w:basedOn w:val="Normal"/>
    <w:link w:val="Style12"/>
    <w:qFormat/>
    <w:rsid w:val="00345a72"/>
    <w:pPr>
      <w:numPr>
        <w:ilvl w:val="1"/>
      </w:numPr>
      <w:spacing w:before="240" w:after="240"/>
      <w:ind w:left="1701" w:right="567" w:hanging="0"/>
    </w:pPr>
    <w:rPr>
      <w:spacing w:val="20"/>
      <w:sz w:val="24"/>
    </w:rPr>
  </w:style>
  <w:style w:type="paragraph" w:styleId="15" w:customStyle="1">
    <w:name w:val="Пункт_1"/>
    <w:basedOn w:val="Normal"/>
    <w:qFormat/>
    <w:rsid w:val="00f51ba9"/>
    <w:pPr>
      <w:keepNext w:val="true"/>
      <w:tabs>
        <w:tab w:val="clear" w:pos="567"/>
        <w:tab w:val="left" w:pos="568" w:leader="none"/>
      </w:tabs>
      <w:spacing w:before="480" w:after="240"/>
      <w:ind w:left="567" w:hanging="567"/>
      <w:jc w:val="center"/>
      <w:outlineLvl w:val="0"/>
    </w:pPr>
    <w:rPr>
      <w:rFonts w:ascii="Arial" w:hAnsi="Arial"/>
      <w:b/>
      <w:sz w:val="32"/>
      <w:szCs w:val="28"/>
    </w:rPr>
  </w:style>
  <w:style w:type="paragraph" w:styleId="Default" w:customStyle="1">
    <w:name w:val="Default"/>
    <w:qFormat/>
    <w:rsid w:val="00b5011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PlainText">
    <w:name w:val="Plain Text"/>
    <w:basedOn w:val="Normal"/>
    <w:link w:val="Style13"/>
    <w:qFormat/>
    <w:rsid w:val="004251f3"/>
    <w:pPr>
      <w:spacing w:before="0" w:after="0"/>
      <w:jc w:val="left"/>
    </w:pPr>
    <w:rPr>
      <w:rFonts w:ascii="Courier New" w:hAnsi="Courier New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4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c">
    <w:name w:val="Table Grid"/>
    <w:basedOn w:val="a4"/>
    <w:uiPriority w:val="59"/>
    <w:rsid w:val="00ac6bd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">
    <w:name w:val="Сетка таблицы211"/>
    <w:basedOn w:val="a4"/>
    <w:uiPriority w:val="59"/>
    <w:rsid w:val="00c55e80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398DD-C611-4AEB-A04D-92D78A1DF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3107</TotalTime>
  <Application>AlterOffice/3.4.0.6$Linux_X86_64 LibreOffice_project/ad8c41dce69105450bf791d4900d64b1f82e10d0</Application>
  <AppVersion>15.0000</AppVersion>
  <Pages>6</Pages>
  <Words>1482</Words>
  <Characters>10897</Characters>
  <CharactersWithSpaces>12900</CharactersWithSpaces>
  <Paragraphs>136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2024-09-25T07:15:00Z</dcterms:created>
  <dc:creator>ИнКонТех</dc:creator>
  <dc:description/>
  <dc:language>ru-RU</dc:language>
  <cp:lastModifiedBy>insapovag@corp.gidroogk.com</cp:lastModifiedBy>
  <cp:lastPrinted>2024-09-25T08:49:00Z</cp:lastPrinted>
  <dcterms:modified xsi:type="dcterms:W3CDTF">2024-11-28T10:01:23Z</dcterms:modified>
  <cp:revision>52</cp:revision>
  <dc:subject/>
  <dc:title>Типовая закупочная документация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