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28.11.2024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Коробков Александр Александрович (02.04.1964г.р., место рожд: с. Новая-Ида Боханского р-на Иркутской обл., адрес рег: 669321, Иркутская обл, Боханский р-н, Новая Ида с, Подгорная ул, дом № 14, СНИЛС07538935507, ИНН 850300533451, паспорт РФ серия 2509, номер 173002, выдан 16.04.2009, кем выдан ТП УФМС РОССИИ ПО ИРКУТСКОЙ ОБЛАСТИ В БОХАНСКОМ Р-НЕ, код подразделения 380-046),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30.01.2023г. по делу №А19-11200/2022,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15.01.2025г. по продаже имущества Коробкова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Корона Премио, VIN: отс, гос. рег. номер: А158АК138, год изготовления: 1999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15.01.2025г.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Коробкова Александра Александровича 40817810850170426381,</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Коробков Александр Александрович (02.04.1964г.р., место рожд: с. Новая-Ида Боханского р-на Иркутской обл., адрес рег: 669321, Иркутская обл, Боханский р-н, Новая Ида с, Подгорная ул, дом № 14, СНИЛС07538935507, ИНН 850300533451, паспорт РФ серия 2509, номер 173002, выдан 16.04.2009, кем выдан ТП УФМС РОССИИ ПО ИРКУТСКОЙ ОБЛАСТИ В БОХАНСКОМ Р-НЕ, код подразделения 380-046)</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Коробкова Александра Александровича 40817810850170426381,</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Коробкова Александра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