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29.11.2024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Тарусина Марина Станиславовна (07.06.1992г.р., место рожд: пос. Северный гор. Воркута Коми АССР, адрес рег: 301430, Тульская обл, Суворовский р-н, Суворов г, Тульская ул, дом № 16, квартира 116, СНИЛС15258690790, ИНН 110313360875, паспорт РФ серия 7022, номер 116853, выдан 22.07.2022, кем выдан УМВД РОССИИ ПО ТУЛЬСКОЙ ОБЛАСТИ, код подразделения 710-021),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Тульской области от 26.03.2024г. по делу №А68-15779/2023,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15.01.2025г. по продаже имущества Тарусиной Марины Станиславовны,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2114, модель: ВАЗ LADA 2114, VIN: XTA211440D5185498, гос. рег. номер: T027OX71,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15.01.2025г.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Тарусиной Марины Станиславовны 40817810150182235079,</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Тарусина Марина Станиславовна (07.06.1992г.р., место рожд: пос. Северный гор. Воркута Коми АССР, адрес рег: 301430, Тульская обл, Суворовский р-н, Суворов г, Тульская ул, дом № 16, квартира 116, СНИЛС15258690790, ИНН 110313360875, паспорт РФ серия 7022, номер 116853, выдан 22.07.2022, кем выдан УМВД РОССИИ ПО ТУЛЬСКОЙ ОБЛАСТИ, код подразделения 710-021)</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Тарусиной Марины Станиславовны 40817810150182235079,</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Тарусиной Марины Станиславовны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