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99F02">
      <w:pPr>
        <w:rPr>
          <w:b/>
          <w:bCs/>
        </w:rPr>
      </w:pPr>
      <w:bookmarkStart w:id="0" w:name="_GoBack"/>
      <w:r>
        <w:rPr>
          <w:b/>
          <w:bCs/>
        </w:rPr>
        <w:t>Сведения о дебиторской задолженности</w:t>
      </w:r>
    </w:p>
    <w:tbl>
      <w:tblPr>
        <w:tblStyle w:val="3"/>
        <w:tblW w:w="14761"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4860"/>
        <w:gridCol w:w="1720"/>
        <w:gridCol w:w="11"/>
        <w:gridCol w:w="2805"/>
        <w:gridCol w:w="4565"/>
      </w:tblGrid>
      <w:tr w14:paraId="7BCE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0" w:type="dxa"/>
            <w:shd w:val="clear" w:color="auto" w:fill="auto"/>
            <w:vAlign w:val="center"/>
          </w:tcPr>
          <w:p w14:paraId="6B471DF7">
            <w:pPr>
              <w:spacing w:after="0"/>
              <w:jc w:val="both"/>
              <w:rPr>
                <w:b/>
                <w:bCs/>
                <w:sz w:val="20"/>
                <w:szCs w:val="20"/>
                <w:lang w:eastAsia="ru-RU"/>
              </w:rPr>
            </w:pPr>
            <w:r>
              <w:rPr>
                <w:b/>
                <w:bCs/>
                <w:sz w:val="20"/>
                <w:szCs w:val="20"/>
                <w:lang w:eastAsia="ru-RU"/>
              </w:rPr>
              <w:t>№ п/п</w:t>
            </w:r>
          </w:p>
        </w:tc>
        <w:tc>
          <w:tcPr>
            <w:tcW w:w="4860" w:type="dxa"/>
            <w:shd w:val="clear" w:color="auto" w:fill="auto"/>
            <w:vAlign w:val="center"/>
          </w:tcPr>
          <w:p w14:paraId="22557D80">
            <w:pPr>
              <w:spacing w:after="0"/>
              <w:jc w:val="both"/>
              <w:rPr>
                <w:b/>
                <w:bCs/>
                <w:sz w:val="20"/>
                <w:szCs w:val="20"/>
                <w:lang w:eastAsia="ru-RU"/>
              </w:rPr>
            </w:pPr>
            <w:r>
              <w:rPr>
                <w:b/>
                <w:bCs/>
                <w:sz w:val="20"/>
                <w:szCs w:val="20"/>
                <w:lang w:eastAsia="ru-RU"/>
              </w:rPr>
              <w:t>Наименование дебитора</w:t>
            </w:r>
          </w:p>
        </w:tc>
        <w:tc>
          <w:tcPr>
            <w:tcW w:w="1720" w:type="dxa"/>
          </w:tcPr>
          <w:p w14:paraId="44BC5936">
            <w:pPr>
              <w:spacing w:after="0"/>
              <w:jc w:val="both"/>
              <w:rPr>
                <w:b/>
                <w:bCs/>
                <w:sz w:val="20"/>
                <w:szCs w:val="20"/>
                <w:lang w:eastAsia="ru-RU"/>
              </w:rPr>
            </w:pPr>
            <w:r>
              <w:rPr>
                <w:b/>
                <w:bCs/>
                <w:sz w:val="20"/>
                <w:szCs w:val="20"/>
                <w:lang w:eastAsia="ru-RU"/>
              </w:rPr>
              <w:t>ИНН</w:t>
            </w:r>
          </w:p>
        </w:tc>
        <w:tc>
          <w:tcPr>
            <w:tcW w:w="2816" w:type="dxa"/>
            <w:gridSpan w:val="2"/>
            <w:shd w:val="clear" w:color="auto" w:fill="auto"/>
            <w:vAlign w:val="center"/>
          </w:tcPr>
          <w:p w14:paraId="08B751ED">
            <w:pPr>
              <w:spacing w:after="0"/>
              <w:jc w:val="both"/>
              <w:rPr>
                <w:b/>
                <w:bCs/>
                <w:sz w:val="20"/>
                <w:szCs w:val="20"/>
                <w:lang w:eastAsia="ru-RU"/>
              </w:rPr>
            </w:pPr>
            <w:r>
              <w:rPr>
                <w:b/>
                <w:bCs/>
                <w:sz w:val="20"/>
                <w:szCs w:val="20"/>
                <w:lang w:eastAsia="ru-RU"/>
              </w:rPr>
              <w:t>Сумма задолженности (руб.)</w:t>
            </w:r>
          </w:p>
        </w:tc>
        <w:tc>
          <w:tcPr>
            <w:tcW w:w="4565" w:type="dxa"/>
          </w:tcPr>
          <w:p w14:paraId="384C8714">
            <w:pPr>
              <w:spacing w:after="0"/>
              <w:jc w:val="both"/>
              <w:rPr>
                <w:rFonts w:hint="default"/>
                <w:b/>
                <w:bCs/>
                <w:sz w:val="20"/>
                <w:szCs w:val="20"/>
                <w:lang w:val="en-US" w:eastAsia="ru-RU"/>
              </w:rPr>
            </w:pPr>
            <w:r>
              <w:rPr>
                <w:b/>
                <w:bCs/>
                <w:sz w:val="20"/>
                <w:szCs w:val="20"/>
                <w:lang w:eastAsia="ru-RU"/>
              </w:rPr>
              <w:t>Основание/подтверждение задолженности</w:t>
            </w:r>
            <w:r>
              <w:rPr>
                <w:rFonts w:hint="default"/>
                <w:b/>
                <w:bCs/>
                <w:sz w:val="20"/>
                <w:szCs w:val="20"/>
                <w:lang w:val="en-US" w:eastAsia="ru-RU"/>
              </w:rPr>
              <w:t>/примечания</w:t>
            </w:r>
          </w:p>
        </w:tc>
      </w:tr>
      <w:tr w14:paraId="5BC0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0" w:type="dxa"/>
            <w:shd w:val="clear" w:color="auto" w:fill="auto"/>
            <w:vAlign w:val="center"/>
          </w:tcPr>
          <w:p w14:paraId="3F1F8902">
            <w:pPr>
              <w:spacing w:after="0"/>
              <w:jc w:val="both"/>
              <w:rPr>
                <w:sz w:val="20"/>
                <w:szCs w:val="20"/>
                <w:lang w:eastAsia="ru-RU"/>
              </w:rPr>
            </w:pPr>
            <w:r>
              <w:rPr>
                <w:sz w:val="20"/>
                <w:szCs w:val="20"/>
                <w:lang w:eastAsia="ru-RU"/>
              </w:rPr>
              <w:t>1</w:t>
            </w:r>
          </w:p>
        </w:tc>
        <w:tc>
          <w:tcPr>
            <w:tcW w:w="4860" w:type="dxa"/>
            <w:shd w:val="clear" w:color="auto" w:fill="auto"/>
            <w:vAlign w:val="center"/>
          </w:tcPr>
          <w:p w14:paraId="37D7F30F">
            <w:pPr>
              <w:spacing w:after="0"/>
              <w:jc w:val="both"/>
              <w:rPr>
                <w:sz w:val="20"/>
                <w:szCs w:val="20"/>
                <w:lang w:eastAsia="ru-RU"/>
              </w:rPr>
            </w:pPr>
            <w:r>
              <w:rPr>
                <w:sz w:val="20"/>
                <w:szCs w:val="20"/>
                <w:lang w:eastAsia="ru-RU"/>
              </w:rPr>
              <w:t>ООО «Стройхолдинг МО»</w:t>
            </w:r>
          </w:p>
        </w:tc>
        <w:tc>
          <w:tcPr>
            <w:tcW w:w="1720" w:type="dxa"/>
          </w:tcPr>
          <w:p w14:paraId="72945E6A">
            <w:pPr>
              <w:spacing w:after="0"/>
              <w:jc w:val="both"/>
              <w:rPr>
                <w:sz w:val="20"/>
                <w:szCs w:val="20"/>
                <w:lang w:eastAsia="ru-RU"/>
              </w:rPr>
            </w:pPr>
            <w:r>
              <w:rPr>
                <w:sz w:val="20"/>
                <w:szCs w:val="20"/>
                <w:lang w:eastAsia="ru-RU"/>
              </w:rPr>
              <w:t>7714794432</w:t>
            </w:r>
          </w:p>
        </w:tc>
        <w:tc>
          <w:tcPr>
            <w:tcW w:w="2816" w:type="dxa"/>
            <w:gridSpan w:val="2"/>
            <w:shd w:val="clear" w:color="auto" w:fill="auto"/>
            <w:vAlign w:val="center"/>
          </w:tcPr>
          <w:p w14:paraId="40F6EBCA">
            <w:pPr>
              <w:spacing w:after="0"/>
              <w:jc w:val="both"/>
              <w:rPr>
                <w:sz w:val="20"/>
                <w:szCs w:val="20"/>
                <w:lang w:eastAsia="ru-RU"/>
              </w:rPr>
            </w:pPr>
            <w:r>
              <w:rPr>
                <w:sz w:val="20"/>
                <w:szCs w:val="20"/>
                <w:lang w:eastAsia="ru-RU"/>
              </w:rPr>
              <w:t>2 060 789,60</w:t>
            </w:r>
          </w:p>
        </w:tc>
        <w:tc>
          <w:tcPr>
            <w:tcW w:w="4565" w:type="dxa"/>
          </w:tcPr>
          <w:p w14:paraId="355F81C7">
            <w:pPr>
              <w:spacing w:after="0"/>
              <w:jc w:val="both"/>
              <w:rPr>
                <w:sz w:val="20"/>
                <w:szCs w:val="20"/>
                <w:lang w:eastAsia="ru-RU"/>
              </w:rPr>
            </w:pPr>
            <w:r>
              <w:rPr>
                <w:sz w:val="20"/>
                <w:szCs w:val="20"/>
                <w:lang w:eastAsia="ru-RU"/>
              </w:rPr>
              <w:t>Задолженность подтверждена в рамках дела А40-172088/17-51-1588. Оригинал исполнительного листа не передан бывшим руководителем, судом также отказано в выдаче дубликата исполнительного листа.</w:t>
            </w:r>
          </w:p>
        </w:tc>
      </w:tr>
      <w:tr w14:paraId="7E69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0" w:type="dxa"/>
            <w:shd w:val="clear" w:color="auto" w:fill="auto"/>
            <w:vAlign w:val="center"/>
          </w:tcPr>
          <w:p w14:paraId="00D9F7DA">
            <w:pPr>
              <w:spacing w:after="0"/>
              <w:jc w:val="both"/>
              <w:rPr>
                <w:sz w:val="20"/>
                <w:szCs w:val="20"/>
                <w:lang w:eastAsia="ru-RU"/>
              </w:rPr>
            </w:pPr>
            <w:r>
              <w:rPr>
                <w:sz w:val="20"/>
                <w:szCs w:val="20"/>
                <w:lang w:eastAsia="ru-RU"/>
              </w:rPr>
              <w:t>2</w:t>
            </w:r>
          </w:p>
        </w:tc>
        <w:tc>
          <w:tcPr>
            <w:tcW w:w="4860" w:type="dxa"/>
            <w:shd w:val="clear" w:color="auto" w:fill="auto"/>
            <w:vAlign w:val="center"/>
          </w:tcPr>
          <w:p w14:paraId="450612C7">
            <w:pPr>
              <w:spacing w:after="0"/>
              <w:rPr>
                <w:sz w:val="20"/>
                <w:szCs w:val="20"/>
                <w:lang w:eastAsia="ru-RU"/>
              </w:rPr>
            </w:pPr>
            <w:r>
              <w:rPr>
                <w:sz w:val="20"/>
                <w:szCs w:val="20"/>
                <w:lang w:eastAsia="ru-RU"/>
              </w:rPr>
              <w:t>ОАО «47 Центральный проектно-изыскательский институт»</w:t>
            </w:r>
          </w:p>
        </w:tc>
        <w:tc>
          <w:tcPr>
            <w:tcW w:w="1720" w:type="dxa"/>
          </w:tcPr>
          <w:p w14:paraId="150B390F">
            <w:pPr>
              <w:spacing w:after="0"/>
              <w:jc w:val="both"/>
              <w:rPr>
                <w:sz w:val="20"/>
                <w:szCs w:val="20"/>
                <w:lang w:eastAsia="ru-RU"/>
              </w:rPr>
            </w:pPr>
            <w:r>
              <w:rPr>
                <w:sz w:val="20"/>
                <w:szCs w:val="20"/>
                <w:lang w:eastAsia="ru-RU"/>
              </w:rPr>
              <w:t>7734202412</w:t>
            </w:r>
          </w:p>
        </w:tc>
        <w:tc>
          <w:tcPr>
            <w:tcW w:w="2816" w:type="dxa"/>
            <w:gridSpan w:val="2"/>
            <w:shd w:val="clear" w:color="auto" w:fill="auto"/>
            <w:vAlign w:val="center"/>
          </w:tcPr>
          <w:p w14:paraId="6A98AE71">
            <w:pPr>
              <w:spacing w:after="0"/>
              <w:jc w:val="both"/>
              <w:rPr>
                <w:sz w:val="20"/>
                <w:szCs w:val="20"/>
                <w:lang w:eastAsia="ru-RU"/>
              </w:rPr>
            </w:pPr>
            <w:r>
              <w:rPr>
                <w:sz w:val="20"/>
                <w:szCs w:val="20"/>
                <w:lang w:eastAsia="ru-RU"/>
              </w:rPr>
              <w:t>9 672 240,97</w:t>
            </w:r>
          </w:p>
        </w:tc>
        <w:tc>
          <w:tcPr>
            <w:tcW w:w="4565" w:type="dxa"/>
            <w:tcBorders>
              <w:top w:val="single" w:color="auto" w:sz="8" w:space="0"/>
              <w:left w:val="single" w:color="auto" w:sz="4" w:space="0"/>
              <w:bottom w:val="single" w:color="auto" w:sz="8" w:space="0"/>
              <w:right w:val="single" w:color="auto" w:sz="8" w:space="0"/>
            </w:tcBorders>
            <w:shd w:val="clear" w:color="auto" w:fill="auto"/>
            <w:vAlign w:val="center"/>
          </w:tcPr>
          <w:p w14:paraId="75964E93">
            <w:pPr>
              <w:spacing w:after="0"/>
              <w:jc w:val="both"/>
              <w:rPr>
                <w:sz w:val="20"/>
                <w:szCs w:val="20"/>
                <w:lang w:eastAsia="ru-RU"/>
              </w:rPr>
            </w:pPr>
            <w:r>
              <w:rPr>
                <w:rFonts w:ascii="Calibri" w:hAnsi="Calibri" w:cs="Calibri"/>
                <w:color w:val="000000"/>
                <w:sz w:val="20"/>
                <w:szCs w:val="20"/>
              </w:rPr>
              <w:t>Задолженность подтверждена Определением АСгМ от 07.07.2021г. по делу А40-204302/17, требование включено в реестр требований кредиторов. Конкурсное производство сроком до 05.06.2024.</w:t>
            </w:r>
          </w:p>
        </w:tc>
      </w:tr>
      <w:tr w14:paraId="0B5A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0" w:type="dxa"/>
            <w:shd w:val="clear" w:color="auto" w:fill="auto"/>
            <w:vAlign w:val="center"/>
          </w:tcPr>
          <w:p w14:paraId="206B5B72">
            <w:pPr>
              <w:spacing w:after="0"/>
              <w:jc w:val="both"/>
              <w:rPr>
                <w:sz w:val="20"/>
                <w:szCs w:val="20"/>
                <w:lang w:eastAsia="ru-RU"/>
              </w:rPr>
            </w:pPr>
            <w:r>
              <w:rPr>
                <w:sz w:val="20"/>
                <w:szCs w:val="20"/>
                <w:lang w:eastAsia="ru-RU"/>
              </w:rPr>
              <w:t>3</w:t>
            </w:r>
          </w:p>
        </w:tc>
        <w:tc>
          <w:tcPr>
            <w:tcW w:w="4860" w:type="dxa"/>
            <w:shd w:val="clear" w:color="auto" w:fill="auto"/>
            <w:vAlign w:val="center"/>
          </w:tcPr>
          <w:p w14:paraId="519FECDE">
            <w:pPr>
              <w:spacing w:after="0"/>
              <w:rPr>
                <w:sz w:val="20"/>
                <w:szCs w:val="20"/>
                <w:lang w:eastAsia="ru-RU"/>
              </w:rPr>
            </w:pPr>
            <w:r>
              <w:rPr>
                <w:sz w:val="20"/>
                <w:szCs w:val="20"/>
                <w:lang w:eastAsia="ru-RU"/>
              </w:rPr>
              <w:t>ОАО «47 Центральный проектно-изыскательский институт»</w:t>
            </w:r>
          </w:p>
        </w:tc>
        <w:tc>
          <w:tcPr>
            <w:tcW w:w="1720" w:type="dxa"/>
          </w:tcPr>
          <w:p w14:paraId="7F4EF349">
            <w:pPr>
              <w:spacing w:after="0"/>
              <w:jc w:val="both"/>
              <w:rPr>
                <w:sz w:val="20"/>
                <w:szCs w:val="20"/>
                <w:lang w:eastAsia="ru-RU"/>
              </w:rPr>
            </w:pPr>
            <w:r>
              <w:rPr>
                <w:sz w:val="20"/>
                <w:szCs w:val="20"/>
                <w:lang w:eastAsia="ru-RU"/>
              </w:rPr>
              <w:t>7734202412</w:t>
            </w:r>
          </w:p>
        </w:tc>
        <w:tc>
          <w:tcPr>
            <w:tcW w:w="2816" w:type="dxa"/>
            <w:gridSpan w:val="2"/>
            <w:shd w:val="clear" w:color="auto" w:fill="auto"/>
            <w:vAlign w:val="center"/>
          </w:tcPr>
          <w:p w14:paraId="12D83447">
            <w:pPr>
              <w:spacing w:after="0"/>
              <w:jc w:val="both"/>
              <w:rPr>
                <w:sz w:val="20"/>
                <w:szCs w:val="20"/>
                <w:lang w:eastAsia="ru-RU"/>
              </w:rPr>
            </w:pPr>
            <w:r>
              <w:rPr>
                <w:sz w:val="20"/>
                <w:szCs w:val="20"/>
                <w:lang w:eastAsia="ru-RU"/>
              </w:rPr>
              <w:t>43 261,00</w:t>
            </w:r>
          </w:p>
        </w:tc>
        <w:tc>
          <w:tcPr>
            <w:tcW w:w="4565" w:type="dxa"/>
            <w:tcBorders>
              <w:top w:val="nil"/>
              <w:left w:val="single" w:color="auto" w:sz="4" w:space="0"/>
              <w:bottom w:val="single" w:color="auto" w:sz="8" w:space="0"/>
              <w:right w:val="single" w:color="auto" w:sz="8" w:space="0"/>
            </w:tcBorders>
            <w:shd w:val="clear" w:color="auto" w:fill="auto"/>
            <w:vAlign w:val="center"/>
          </w:tcPr>
          <w:p w14:paraId="27A607DE">
            <w:pPr>
              <w:spacing w:after="0"/>
              <w:jc w:val="both"/>
              <w:rPr>
                <w:sz w:val="20"/>
                <w:szCs w:val="20"/>
                <w:lang w:eastAsia="ru-RU"/>
              </w:rPr>
            </w:pPr>
            <w:r>
              <w:rPr>
                <w:rFonts w:ascii="Calibri" w:hAnsi="Calibri" w:cs="Calibri"/>
                <w:color w:val="000000"/>
                <w:sz w:val="20"/>
                <w:szCs w:val="20"/>
              </w:rPr>
              <w:t>Задолженность включена в реестр текущих платежей по делу А40-204302/17, подтверждена внешним управляющим.</w:t>
            </w:r>
          </w:p>
        </w:tc>
      </w:tr>
      <w:tr w14:paraId="39FF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0" w:type="dxa"/>
            <w:shd w:val="clear" w:color="auto" w:fill="auto"/>
            <w:vAlign w:val="center"/>
          </w:tcPr>
          <w:p w14:paraId="221EBB08">
            <w:pPr>
              <w:spacing w:after="0"/>
              <w:jc w:val="both"/>
              <w:rPr>
                <w:sz w:val="20"/>
                <w:szCs w:val="20"/>
                <w:lang w:eastAsia="ru-RU"/>
              </w:rPr>
            </w:pPr>
            <w:r>
              <w:rPr>
                <w:sz w:val="20"/>
                <w:szCs w:val="20"/>
                <w:lang w:eastAsia="ru-RU"/>
              </w:rPr>
              <w:t>4</w:t>
            </w:r>
          </w:p>
        </w:tc>
        <w:tc>
          <w:tcPr>
            <w:tcW w:w="4860" w:type="dxa"/>
            <w:shd w:val="clear" w:color="auto" w:fill="auto"/>
            <w:vAlign w:val="center"/>
          </w:tcPr>
          <w:p w14:paraId="0FF9DAC8">
            <w:pPr>
              <w:spacing w:after="0"/>
              <w:jc w:val="both"/>
              <w:rPr>
                <w:sz w:val="20"/>
                <w:szCs w:val="20"/>
                <w:lang w:eastAsia="ru-RU"/>
              </w:rPr>
            </w:pPr>
            <w:r>
              <w:rPr>
                <w:sz w:val="20"/>
                <w:szCs w:val="20"/>
                <w:lang w:eastAsia="ru-RU"/>
              </w:rPr>
              <w:t>ОАО «Проектный портал»</w:t>
            </w:r>
          </w:p>
        </w:tc>
        <w:tc>
          <w:tcPr>
            <w:tcW w:w="1720" w:type="dxa"/>
          </w:tcPr>
          <w:p w14:paraId="7F4AD8F5">
            <w:pPr>
              <w:spacing w:after="0"/>
              <w:jc w:val="both"/>
              <w:rPr>
                <w:sz w:val="20"/>
                <w:szCs w:val="20"/>
                <w:lang w:eastAsia="ru-RU"/>
              </w:rPr>
            </w:pPr>
            <w:r>
              <w:rPr>
                <w:sz w:val="20"/>
                <w:szCs w:val="20"/>
                <w:lang w:eastAsia="ru-RU"/>
              </w:rPr>
              <w:t>7717634902</w:t>
            </w:r>
          </w:p>
        </w:tc>
        <w:tc>
          <w:tcPr>
            <w:tcW w:w="2816" w:type="dxa"/>
            <w:gridSpan w:val="2"/>
            <w:shd w:val="clear" w:color="auto" w:fill="auto"/>
            <w:vAlign w:val="center"/>
          </w:tcPr>
          <w:p w14:paraId="757238F2">
            <w:pPr>
              <w:spacing w:after="0"/>
              <w:jc w:val="both"/>
              <w:rPr>
                <w:sz w:val="20"/>
                <w:szCs w:val="20"/>
                <w:lang w:eastAsia="ru-RU"/>
              </w:rPr>
            </w:pPr>
            <w:r>
              <w:rPr>
                <w:sz w:val="20"/>
                <w:szCs w:val="20"/>
                <w:lang w:eastAsia="ru-RU"/>
              </w:rPr>
              <w:t>3 970 288,56</w:t>
            </w:r>
          </w:p>
        </w:tc>
        <w:tc>
          <w:tcPr>
            <w:tcW w:w="4565" w:type="dxa"/>
            <w:tcBorders>
              <w:top w:val="nil"/>
              <w:left w:val="single" w:color="auto" w:sz="4" w:space="0"/>
              <w:bottom w:val="single" w:color="auto" w:sz="8" w:space="0"/>
              <w:right w:val="single" w:color="auto" w:sz="8" w:space="0"/>
            </w:tcBorders>
            <w:shd w:val="clear" w:color="auto" w:fill="auto"/>
            <w:vAlign w:val="center"/>
          </w:tcPr>
          <w:p w14:paraId="3C548633">
            <w:pPr>
              <w:spacing w:after="0"/>
              <w:jc w:val="both"/>
              <w:rPr>
                <w:sz w:val="20"/>
                <w:szCs w:val="20"/>
                <w:lang w:eastAsia="ru-RU"/>
              </w:rPr>
            </w:pPr>
            <w:r>
              <w:rPr>
                <w:rFonts w:ascii="Calibri" w:hAnsi="Calibri" w:cs="Calibri"/>
                <w:color w:val="000000"/>
                <w:sz w:val="20"/>
                <w:szCs w:val="20"/>
              </w:rPr>
              <w:t>Задолженность подтверждена Определением АСгМ от 24.04.2018г. по делу А40-29519/16, требование включено в реестр требований кредиторов. Конкурсное производство сроком до 30.01.2024.</w:t>
            </w:r>
          </w:p>
        </w:tc>
      </w:tr>
      <w:tr w14:paraId="7C6E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0" w:type="dxa"/>
            <w:shd w:val="clear" w:color="auto" w:fill="auto"/>
            <w:vAlign w:val="center"/>
          </w:tcPr>
          <w:p w14:paraId="1AA56439">
            <w:pPr>
              <w:spacing w:after="0"/>
              <w:jc w:val="both"/>
              <w:rPr>
                <w:sz w:val="20"/>
                <w:szCs w:val="20"/>
                <w:lang w:eastAsia="ru-RU"/>
              </w:rPr>
            </w:pPr>
            <w:r>
              <w:rPr>
                <w:sz w:val="20"/>
                <w:szCs w:val="20"/>
                <w:lang w:eastAsia="ru-RU"/>
              </w:rPr>
              <w:t>5</w:t>
            </w:r>
          </w:p>
        </w:tc>
        <w:tc>
          <w:tcPr>
            <w:tcW w:w="4860" w:type="dxa"/>
            <w:shd w:val="clear" w:color="auto" w:fill="auto"/>
            <w:vAlign w:val="center"/>
          </w:tcPr>
          <w:p w14:paraId="560293C1">
            <w:pPr>
              <w:spacing w:after="0"/>
              <w:rPr>
                <w:sz w:val="20"/>
                <w:szCs w:val="20"/>
                <w:lang w:eastAsia="ru-RU"/>
              </w:rPr>
            </w:pPr>
            <w:r>
              <w:rPr>
                <w:sz w:val="20"/>
                <w:szCs w:val="20"/>
                <w:lang w:eastAsia="ru-RU"/>
              </w:rPr>
              <w:t>ОАО «Научно-исследовательский институт специальных систем связи «Интеграл»</w:t>
            </w:r>
          </w:p>
        </w:tc>
        <w:tc>
          <w:tcPr>
            <w:tcW w:w="1720" w:type="dxa"/>
          </w:tcPr>
          <w:p w14:paraId="3BEB4408">
            <w:pPr>
              <w:spacing w:after="0"/>
              <w:jc w:val="both"/>
              <w:rPr>
                <w:sz w:val="20"/>
                <w:szCs w:val="20"/>
                <w:lang w:eastAsia="ru-RU"/>
              </w:rPr>
            </w:pPr>
            <w:r>
              <w:rPr>
                <w:sz w:val="20"/>
                <w:szCs w:val="20"/>
                <w:lang w:eastAsia="ru-RU"/>
              </w:rPr>
              <w:t>5029168735</w:t>
            </w:r>
          </w:p>
        </w:tc>
        <w:tc>
          <w:tcPr>
            <w:tcW w:w="2816" w:type="dxa"/>
            <w:gridSpan w:val="2"/>
            <w:shd w:val="clear" w:color="auto" w:fill="auto"/>
            <w:vAlign w:val="center"/>
          </w:tcPr>
          <w:p w14:paraId="4B9DB67B">
            <w:pPr>
              <w:spacing w:after="0"/>
              <w:jc w:val="both"/>
              <w:rPr>
                <w:sz w:val="20"/>
                <w:szCs w:val="20"/>
                <w:lang w:eastAsia="ru-RU"/>
              </w:rPr>
            </w:pPr>
            <w:r>
              <w:rPr>
                <w:sz w:val="20"/>
                <w:szCs w:val="20"/>
                <w:lang w:eastAsia="ru-RU"/>
              </w:rPr>
              <w:t>16 926 928,58</w:t>
            </w:r>
          </w:p>
        </w:tc>
        <w:tc>
          <w:tcPr>
            <w:tcW w:w="4565" w:type="dxa"/>
          </w:tcPr>
          <w:p w14:paraId="3D26F154">
            <w:pPr>
              <w:spacing w:after="0"/>
              <w:jc w:val="both"/>
              <w:rPr>
                <w:sz w:val="20"/>
                <w:szCs w:val="20"/>
                <w:lang w:eastAsia="ru-RU"/>
              </w:rPr>
            </w:pPr>
            <w:r>
              <w:rPr>
                <w:sz w:val="20"/>
                <w:szCs w:val="20"/>
                <w:lang w:eastAsia="ru-RU"/>
              </w:rPr>
              <w:t xml:space="preserve">Задолженность подтверждена Определением АСМО от 23.10.2013г. по делу А41-51506/12, требование включено в реестр требований кредиторов. </w:t>
            </w:r>
          </w:p>
          <w:p w14:paraId="401F5892">
            <w:pPr>
              <w:spacing w:after="0"/>
              <w:jc w:val="both"/>
              <w:rPr>
                <w:rFonts w:hint="default"/>
                <w:sz w:val="20"/>
                <w:szCs w:val="20"/>
                <w:lang w:val="en-US" w:eastAsia="ru-RU"/>
              </w:rPr>
            </w:pPr>
            <w:r>
              <w:rPr>
                <w:sz w:val="20"/>
                <w:szCs w:val="20"/>
                <w:lang w:eastAsia="ru-RU"/>
              </w:rPr>
              <w:t>Определением</w:t>
            </w:r>
            <w:r>
              <w:rPr>
                <w:rFonts w:hint="default"/>
                <w:sz w:val="20"/>
                <w:szCs w:val="20"/>
                <w:lang w:val="en-US" w:eastAsia="ru-RU"/>
              </w:rPr>
              <w:t xml:space="preserve"> от 22.07.2024г. по делу №А41-51506/12 конкурсное производство завершено, должник исключен из ЕГРЮЛ.</w:t>
            </w:r>
          </w:p>
        </w:tc>
      </w:tr>
      <w:tr w14:paraId="33F6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0" w:type="dxa"/>
            <w:shd w:val="clear" w:color="auto" w:fill="auto"/>
            <w:vAlign w:val="center"/>
          </w:tcPr>
          <w:p w14:paraId="31D03AD2">
            <w:pPr>
              <w:spacing w:after="0"/>
              <w:jc w:val="both"/>
              <w:rPr>
                <w:sz w:val="20"/>
                <w:szCs w:val="20"/>
                <w:lang w:eastAsia="ru-RU"/>
              </w:rPr>
            </w:pPr>
            <w:r>
              <w:rPr>
                <w:sz w:val="20"/>
                <w:szCs w:val="20"/>
                <w:lang w:eastAsia="ru-RU"/>
              </w:rPr>
              <w:t>6</w:t>
            </w:r>
          </w:p>
        </w:tc>
        <w:tc>
          <w:tcPr>
            <w:tcW w:w="4860" w:type="dxa"/>
            <w:shd w:val="clear" w:color="auto" w:fill="auto"/>
            <w:vAlign w:val="center"/>
          </w:tcPr>
          <w:p w14:paraId="1C6D4B8E">
            <w:pPr>
              <w:spacing w:after="0"/>
              <w:jc w:val="both"/>
              <w:rPr>
                <w:sz w:val="20"/>
                <w:szCs w:val="20"/>
                <w:lang w:eastAsia="ru-RU"/>
              </w:rPr>
            </w:pPr>
            <w:r>
              <w:rPr>
                <w:sz w:val="20"/>
                <w:szCs w:val="20"/>
                <w:lang w:eastAsia="ru-RU"/>
              </w:rPr>
              <w:t>Ильин А.В.</w:t>
            </w:r>
          </w:p>
        </w:tc>
        <w:tc>
          <w:tcPr>
            <w:tcW w:w="1720" w:type="dxa"/>
          </w:tcPr>
          <w:p w14:paraId="27F84215">
            <w:pPr>
              <w:spacing w:after="0"/>
              <w:jc w:val="both"/>
              <w:rPr>
                <w:sz w:val="20"/>
                <w:szCs w:val="20"/>
                <w:lang w:eastAsia="ru-RU"/>
              </w:rPr>
            </w:pPr>
          </w:p>
        </w:tc>
        <w:tc>
          <w:tcPr>
            <w:tcW w:w="2816" w:type="dxa"/>
            <w:gridSpan w:val="2"/>
            <w:shd w:val="clear" w:color="auto" w:fill="auto"/>
            <w:vAlign w:val="center"/>
          </w:tcPr>
          <w:p w14:paraId="7A0BDBA5">
            <w:pPr>
              <w:spacing w:after="0"/>
              <w:jc w:val="both"/>
              <w:rPr>
                <w:sz w:val="20"/>
                <w:szCs w:val="20"/>
                <w:lang w:eastAsia="ru-RU"/>
              </w:rPr>
            </w:pPr>
            <w:r>
              <w:rPr>
                <w:sz w:val="20"/>
                <w:szCs w:val="20"/>
                <w:lang w:eastAsia="ru-RU"/>
              </w:rPr>
              <w:t>3 813 596,82</w:t>
            </w:r>
          </w:p>
        </w:tc>
        <w:tc>
          <w:tcPr>
            <w:tcW w:w="4565" w:type="dxa"/>
            <w:tcBorders>
              <w:top w:val="single" w:color="auto" w:sz="8" w:space="0"/>
              <w:left w:val="single" w:color="auto" w:sz="4" w:space="0"/>
              <w:bottom w:val="single" w:color="auto" w:sz="8" w:space="0"/>
              <w:right w:val="single" w:color="auto" w:sz="8" w:space="0"/>
            </w:tcBorders>
            <w:shd w:val="clear" w:color="auto" w:fill="auto"/>
            <w:vAlign w:val="center"/>
          </w:tcPr>
          <w:p w14:paraId="4A53566E">
            <w:pPr>
              <w:spacing w:after="0"/>
              <w:jc w:val="both"/>
              <w:rPr>
                <w:sz w:val="20"/>
                <w:szCs w:val="20"/>
                <w:lang w:eastAsia="ru-RU"/>
              </w:rPr>
            </w:pPr>
            <w:r>
              <w:rPr>
                <w:rFonts w:ascii="Calibri" w:hAnsi="Calibri" w:cs="Calibri"/>
                <w:color w:val="000000"/>
                <w:sz w:val="20"/>
                <w:szCs w:val="20"/>
              </w:rPr>
              <w:t>Определением Арбитражного суда г. Москвы от 20.03.2023 в признании сделки недействительной отказано.</w:t>
            </w:r>
            <w:r>
              <w:rPr>
                <w:rFonts w:ascii="Calibri" w:hAnsi="Calibri" w:cs="Calibri"/>
                <w:color w:val="000000"/>
                <w:sz w:val="20"/>
                <w:szCs w:val="20"/>
              </w:rPr>
              <w:br w:type="textWrapping"/>
            </w:r>
            <w:r>
              <w:rPr>
                <w:rFonts w:ascii="Calibri" w:hAnsi="Calibri" w:cs="Calibri"/>
                <w:color w:val="000000"/>
                <w:sz w:val="20"/>
                <w:szCs w:val="20"/>
              </w:rPr>
              <w:t>Постановлением 9ААС от 06.07.2023 определение отменено, сделка признана недействительной. Постановлением арбитражного суда Московского округа от 25.09.2023 г. Постановление Девятого арбитражного апелляционного суда от 06.07.2023 г. оставлено без изменений. Определением ВС РФ от 22.12.2023 в передаче на рассмотрение отказано.</w:t>
            </w:r>
          </w:p>
        </w:tc>
      </w:tr>
      <w:tr w14:paraId="32C5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0" w:type="dxa"/>
            <w:shd w:val="clear" w:color="auto" w:fill="auto"/>
            <w:vAlign w:val="center"/>
          </w:tcPr>
          <w:p w14:paraId="0778639D">
            <w:pPr>
              <w:spacing w:after="0"/>
              <w:jc w:val="both"/>
              <w:rPr>
                <w:sz w:val="20"/>
                <w:szCs w:val="20"/>
                <w:lang w:eastAsia="ru-RU"/>
              </w:rPr>
            </w:pPr>
            <w:r>
              <w:rPr>
                <w:sz w:val="20"/>
                <w:szCs w:val="20"/>
                <w:lang w:eastAsia="ru-RU"/>
              </w:rPr>
              <w:t>7</w:t>
            </w:r>
          </w:p>
        </w:tc>
        <w:tc>
          <w:tcPr>
            <w:tcW w:w="4860" w:type="dxa"/>
            <w:shd w:val="clear" w:color="auto" w:fill="auto"/>
            <w:vAlign w:val="center"/>
          </w:tcPr>
          <w:p w14:paraId="30922A3E">
            <w:pPr>
              <w:spacing w:after="0"/>
              <w:jc w:val="both"/>
              <w:rPr>
                <w:sz w:val="20"/>
                <w:szCs w:val="20"/>
                <w:lang w:eastAsia="ru-RU"/>
              </w:rPr>
            </w:pPr>
            <w:r>
              <w:rPr>
                <w:sz w:val="20"/>
                <w:szCs w:val="20"/>
                <w:lang w:eastAsia="ru-RU"/>
              </w:rPr>
              <w:t>ООО «Каскад-Армапривод»</w:t>
            </w:r>
          </w:p>
        </w:tc>
        <w:tc>
          <w:tcPr>
            <w:tcW w:w="1720" w:type="dxa"/>
          </w:tcPr>
          <w:p w14:paraId="726B6CCE">
            <w:pPr>
              <w:spacing w:after="0"/>
              <w:jc w:val="both"/>
              <w:rPr>
                <w:sz w:val="20"/>
                <w:szCs w:val="20"/>
                <w:lang w:eastAsia="ru-RU"/>
              </w:rPr>
            </w:pPr>
            <w:r>
              <w:rPr>
                <w:sz w:val="20"/>
                <w:szCs w:val="20"/>
                <w:lang w:eastAsia="ru-RU"/>
              </w:rPr>
              <w:t>7716826288</w:t>
            </w:r>
          </w:p>
        </w:tc>
        <w:tc>
          <w:tcPr>
            <w:tcW w:w="2816" w:type="dxa"/>
            <w:gridSpan w:val="2"/>
            <w:shd w:val="clear" w:color="auto" w:fill="auto"/>
            <w:vAlign w:val="center"/>
          </w:tcPr>
          <w:p w14:paraId="1E3A0456">
            <w:pPr>
              <w:spacing w:after="0"/>
              <w:jc w:val="both"/>
              <w:rPr>
                <w:sz w:val="20"/>
                <w:szCs w:val="20"/>
                <w:lang w:eastAsia="ru-RU"/>
              </w:rPr>
            </w:pPr>
            <w:r>
              <w:rPr>
                <w:sz w:val="20"/>
                <w:szCs w:val="20"/>
                <w:lang w:eastAsia="ru-RU"/>
              </w:rPr>
              <w:t>9 030 000,00</w:t>
            </w:r>
          </w:p>
        </w:tc>
        <w:tc>
          <w:tcPr>
            <w:tcW w:w="4565" w:type="dxa"/>
            <w:tcBorders>
              <w:top w:val="nil"/>
              <w:left w:val="single" w:color="auto" w:sz="4" w:space="0"/>
              <w:bottom w:val="single" w:color="auto" w:sz="8" w:space="0"/>
              <w:right w:val="single" w:color="auto" w:sz="8" w:space="0"/>
            </w:tcBorders>
            <w:shd w:val="clear" w:color="auto" w:fill="auto"/>
            <w:vAlign w:val="center"/>
          </w:tcPr>
          <w:p w14:paraId="5E466FA6">
            <w:pPr>
              <w:spacing w:after="0"/>
              <w:jc w:val="both"/>
              <w:rPr>
                <w:sz w:val="20"/>
                <w:szCs w:val="20"/>
                <w:lang w:eastAsia="ru-RU"/>
              </w:rPr>
            </w:pPr>
            <w:r>
              <w:rPr>
                <w:rFonts w:ascii="Calibri" w:hAnsi="Calibri" w:cs="Calibri"/>
                <w:color w:val="000000"/>
                <w:sz w:val="20"/>
                <w:szCs w:val="20"/>
              </w:rPr>
              <w:t>Определением Арбитражного суда г. Москвы от 22.05.2023 сделка признана недействительной.</w:t>
            </w:r>
          </w:p>
        </w:tc>
      </w:tr>
      <w:tr w14:paraId="2C86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391" w:type="dxa"/>
            <w:gridSpan w:val="4"/>
            <w:shd w:val="clear" w:color="auto" w:fill="auto"/>
            <w:vAlign w:val="center"/>
          </w:tcPr>
          <w:p w14:paraId="5088D4DB">
            <w:pPr>
              <w:spacing w:after="0"/>
              <w:jc w:val="both"/>
              <w:rPr>
                <w:sz w:val="20"/>
                <w:szCs w:val="20"/>
                <w:lang w:eastAsia="ru-RU"/>
              </w:rPr>
            </w:pPr>
            <w:r>
              <w:rPr>
                <w:sz w:val="20"/>
                <w:szCs w:val="20"/>
                <w:lang w:eastAsia="ru-RU"/>
              </w:rPr>
              <w:t>Итого:</w:t>
            </w:r>
          </w:p>
        </w:tc>
        <w:tc>
          <w:tcPr>
            <w:tcW w:w="2805" w:type="dxa"/>
            <w:shd w:val="clear" w:color="auto" w:fill="auto"/>
            <w:vAlign w:val="center"/>
          </w:tcPr>
          <w:p w14:paraId="2C5AA55C">
            <w:pPr>
              <w:spacing w:after="0"/>
              <w:jc w:val="both"/>
              <w:rPr>
                <w:sz w:val="20"/>
                <w:szCs w:val="20"/>
                <w:lang w:eastAsia="ru-RU"/>
              </w:rPr>
            </w:pPr>
            <w:r>
              <w:rPr>
                <w:sz w:val="20"/>
                <w:szCs w:val="20"/>
                <w:lang w:eastAsia="ru-RU"/>
              </w:rPr>
              <w:t>45 517 105,53</w:t>
            </w:r>
          </w:p>
        </w:tc>
        <w:tc>
          <w:tcPr>
            <w:tcW w:w="4565" w:type="dxa"/>
          </w:tcPr>
          <w:p w14:paraId="689A4AFD">
            <w:pPr>
              <w:spacing w:after="0"/>
              <w:jc w:val="both"/>
              <w:rPr>
                <w:sz w:val="20"/>
                <w:szCs w:val="20"/>
                <w:lang w:eastAsia="ru-RU"/>
              </w:rPr>
            </w:pPr>
          </w:p>
        </w:tc>
      </w:tr>
    </w:tbl>
    <w:p w14:paraId="55B06608"/>
    <w:sectPr>
      <w:pgSz w:w="16838" w:h="11906" w:orient="landscape"/>
      <w:pgMar w:top="850" w:right="1134" w:bottom="1701"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7A6"/>
    <w:rsid w:val="005D28EC"/>
    <w:rsid w:val="00823C58"/>
    <w:rsid w:val="00FC17A6"/>
    <w:rsid w:val="5CD01E4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285</Words>
  <Characters>1627</Characters>
  <Lines>13</Lines>
  <Paragraphs>3</Paragraphs>
  <TotalTime>6</TotalTime>
  <ScaleCrop>false</ScaleCrop>
  <LinksUpToDate>false</LinksUpToDate>
  <CharactersWithSpaces>1909</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2024-07-16T06:49:00Z</dcterms:created>
  <dc:creator>Ksenia Philippova</dc:creator>
  <cp:lastModifiedBy>2</cp:lastModifiedBy>
  <dcterms:modified xsi:type="dcterms:W3CDTF">2024-12-16T08:42:04Z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C8432DC6026E411FB226358021E4D24A_13</vt:lpwstr>
  </property>
</Properties>
</file>