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0D7B" w14:textId="77777777" w:rsidR="0065704D" w:rsidRDefault="0065704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015F71B" w14:textId="77777777" w:rsidR="0065704D" w:rsidRDefault="004216D3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45B5B554" w14:textId="77777777" w:rsidR="0065704D" w:rsidRDefault="004216D3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66FA2E48" w14:textId="77777777" w:rsidR="0065704D" w:rsidRDefault="004216D3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6CE6709" w14:textId="77777777" w:rsidR="0065704D" w:rsidRDefault="004216D3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575386CE" w14:textId="77777777" w:rsidR="0065704D" w:rsidRDefault="004216D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26 марта 2025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3A677211" w14:textId="77777777" w:rsidR="0065704D" w:rsidRDefault="004216D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2D8FB8DD" w14:textId="77777777" w:rsidR="0065704D" w:rsidRDefault="004216D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7DB3C315" w14:textId="77777777" w:rsidR="0065704D" w:rsidRDefault="004216D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745003CC" w14:textId="77777777" w:rsidR="0065704D" w:rsidRDefault="004216D3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10:00 «16» января 2025 г. по «24» марта 2025 г. до 18:00</w:t>
      </w:r>
    </w:p>
    <w:p w14:paraId="3CAE9D06" w14:textId="77777777" w:rsidR="0065704D" w:rsidRDefault="004216D3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11CAC906" w14:textId="77777777" w:rsidR="0065704D" w:rsidRDefault="004216D3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2B8E967D" w14:textId="77777777" w:rsidR="0065704D" w:rsidRDefault="004216D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</w:t>
      </w:r>
      <w:r>
        <w:rPr>
          <w:rFonts w:cs="Times New Roman"/>
          <w:b/>
          <w:bCs/>
          <w:sz w:val="22"/>
          <w:szCs w:val="22"/>
        </w:rPr>
        <w:t>«</w:t>
      </w:r>
      <w:proofErr w:type="gramEnd"/>
      <w:r>
        <w:rPr>
          <w:rFonts w:cs="Times New Roman"/>
          <w:b/>
          <w:bCs/>
          <w:sz w:val="22"/>
          <w:szCs w:val="22"/>
        </w:rPr>
        <w:t xml:space="preserve">24» марта 2025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183012CD" w14:textId="77777777" w:rsidR="0065704D" w:rsidRDefault="004216D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26» марта 2025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074E10B4" w14:textId="77777777" w:rsidR="0065704D" w:rsidRDefault="0065704D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8E36EC7" w14:textId="77777777" w:rsidR="0065704D" w:rsidRDefault="004216D3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81DBAA3" w14:textId="77777777" w:rsidR="0065704D" w:rsidRDefault="004216D3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78DB9BD" w14:textId="77777777" w:rsidR="0065704D" w:rsidRDefault="004216D3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331B35D1" w14:textId="77777777" w:rsidR="0065704D" w:rsidRDefault="004216D3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35EC6892" w14:textId="77777777" w:rsidR="0065704D" w:rsidRDefault="0065704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4974741E" w14:textId="77777777" w:rsidR="0065704D" w:rsidRDefault="004216D3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(Объекты, лоты): </w:t>
      </w:r>
      <w:r>
        <w:rPr>
          <w:rFonts w:cs="Times New Roman"/>
          <w:sz w:val="22"/>
          <w:szCs w:val="22"/>
        </w:rPr>
        <w:tab/>
      </w:r>
    </w:p>
    <w:p w14:paraId="13977CE4" w14:textId="77777777" w:rsidR="0065704D" w:rsidRDefault="004216D3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Объект 1:</w:t>
      </w:r>
    </w:p>
    <w:p w14:paraId="359EF013" w14:textId="77777777" w:rsidR="0065704D" w:rsidRDefault="004216D3">
      <w:pPr>
        <w:jc w:val="both"/>
      </w:pPr>
      <w:r>
        <w:rPr>
          <w:sz w:val="22"/>
          <w:szCs w:val="22"/>
        </w:rPr>
        <w:tab/>
        <w:t xml:space="preserve">Помещение с кадастровым номером </w:t>
      </w:r>
      <w:r>
        <w:rPr>
          <w:color w:val="000000"/>
          <w:sz w:val="22"/>
          <w:szCs w:val="22"/>
        </w:rPr>
        <w:t>50:34:0000000:22387</w:t>
      </w:r>
      <w:r>
        <w:rPr>
          <w:sz w:val="22"/>
          <w:szCs w:val="22"/>
        </w:rPr>
        <w:t xml:space="preserve">, назначение: нежилое, наименование: данные отсутствуют, </w:t>
      </w:r>
      <w:r>
        <w:rPr>
          <w:color w:val="000000"/>
          <w:sz w:val="22"/>
          <w:szCs w:val="22"/>
        </w:rPr>
        <w:t xml:space="preserve">общей площадью 251 </w:t>
      </w:r>
      <w:proofErr w:type="spellStart"/>
      <w:proofErr w:type="gramStart"/>
      <w:r>
        <w:rPr>
          <w:color w:val="000000"/>
          <w:sz w:val="22"/>
          <w:szCs w:val="22"/>
        </w:rPr>
        <w:t>кв.м</w:t>
      </w:r>
      <w:proofErr w:type="spellEnd"/>
      <w:proofErr w:type="gramEnd"/>
      <w:r>
        <w:rPr>
          <w:color w:val="000000"/>
          <w:sz w:val="22"/>
          <w:szCs w:val="22"/>
        </w:rPr>
        <w:t>, адрес:</w:t>
      </w:r>
      <w:r>
        <w:rPr>
          <w:sz w:val="22"/>
          <w:szCs w:val="22"/>
        </w:rPr>
        <w:t xml:space="preserve"> </w:t>
      </w:r>
      <w:r>
        <w:rPr>
          <w:rStyle w:val="fontstyle01"/>
          <w:sz w:val="22"/>
          <w:szCs w:val="22"/>
        </w:rPr>
        <w:t xml:space="preserve">Российская Федерация, Московская область, </w:t>
      </w:r>
      <w:r>
        <w:rPr>
          <w:color w:val="000000"/>
          <w:sz w:val="22"/>
          <w:szCs w:val="22"/>
        </w:rPr>
        <w:t>Городской округ Коломна, тер. Городок Коломна-1, д.3, этаж: № 1, находящееся в собственности Доверителя, о чем в ЕГРН сделана запись регистрации № 50:34:0000000:22387-50/112/2023-1 от 21/12/2023</w:t>
      </w:r>
      <w:r>
        <w:rPr>
          <w:rStyle w:val="fontstyle01"/>
          <w:sz w:val="22"/>
          <w:szCs w:val="22"/>
        </w:rPr>
        <w:t>.</w:t>
      </w:r>
      <w:r>
        <w:t xml:space="preserve"> </w:t>
      </w:r>
    </w:p>
    <w:p w14:paraId="2D6CDA0D" w14:textId="77777777" w:rsidR="0065704D" w:rsidRDefault="004216D3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 xml:space="preserve">Обременения (ограничения) Объекта: не зарегистрированы. </w:t>
      </w:r>
    </w:p>
    <w:p w14:paraId="43F5F3B2" w14:textId="77777777" w:rsidR="0065704D" w:rsidRDefault="004216D3">
      <w:pPr>
        <w:ind w:right="-57" w:firstLine="56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Объект 2:</w:t>
      </w:r>
    </w:p>
    <w:p w14:paraId="4D92DEBC" w14:textId="77777777" w:rsidR="0065704D" w:rsidRDefault="004216D3">
      <w:pPr>
        <w:ind w:firstLine="709"/>
        <w:jc w:val="both"/>
      </w:pPr>
      <w:r>
        <w:rPr>
          <w:sz w:val="22"/>
          <w:szCs w:val="22"/>
        </w:rPr>
        <w:t xml:space="preserve">Помещение с кадастровым номером </w:t>
      </w:r>
      <w:r>
        <w:rPr>
          <w:color w:val="000000"/>
          <w:sz w:val="22"/>
          <w:szCs w:val="22"/>
        </w:rPr>
        <w:t>50:34:0000000:22388</w:t>
      </w:r>
      <w:r>
        <w:rPr>
          <w:sz w:val="22"/>
          <w:szCs w:val="22"/>
        </w:rPr>
        <w:t xml:space="preserve">, назначение: нежилое, наименование: данные отсутствуют, </w:t>
      </w:r>
      <w:r>
        <w:rPr>
          <w:color w:val="000000"/>
          <w:sz w:val="22"/>
          <w:szCs w:val="22"/>
        </w:rPr>
        <w:t xml:space="preserve">общей площадью 532,8 </w:t>
      </w:r>
      <w:proofErr w:type="spellStart"/>
      <w:proofErr w:type="gramStart"/>
      <w:r>
        <w:rPr>
          <w:color w:val="000000"/>
          <w:sz w:val="22"/>
          <w:szCs w:val="22"/>
        </w:rPr>
        <w:t>кв.м</w:t>
      </w:r>
      <w:proofErr w:type="spellEnd"/>
      <w:proofErr w:type="gramEnd"/>
      <w:r>
        <w:rPr>
          <w:color w:val="000000"/>
          <w:sz w:val="22"/>
          <w:szCs w:val="22"/>
        </w:rPr>
        <w:t>, адрес:</w:t>
      </w:r>
      <w:r>
        <w:rPr>
          <w:sz w:val="22"/>
          <w:szCs w:val="22"/>
        </w:rPr>
        <w:t xml:space="preserve"> </w:t>
      </w:r>
      <w:r>
        <w:rPr>
          <w:rStyle w:val="fontstyle01"/>
          <w:sz w:val="22"/>
          <w:szCs w:val="22"/>
        </w:rPr>
        <w:t xml:space="preserve">Российская Федерация, Московская область, </w:t>
      </w:r>
      <w:r>
        <w:rPr>
          <w:color w:val="000000"/>
          <w:sz w:val="22"/>
          <w:szCs w:val="22"/>
        </w:rPr>
        <w:t>Городской округ Коломна, тер. Городок Коломна-1, д.3, этаж: № 1, находящееся в собственности Доверителя, о чем в ЕГРН сделана запись регистрации № 50:34:0000000:22388-50/112/2023-1 от 21/12/2023</w:t>
      </w:r>
      <w:r>
        <w:rPr>
          <w:rStyle w:val="fontstyle01"/>
          <w:sz w:val="22"/>
          <w:szCs w:val="22"/>
        </w:rPr>
        <w:t>.</w:t>
      </w:r>
      <w:r>
        <w:t xml:space="preserve"> </w:t>
      </w:r>
    </w:p>
    <w:p w14:paraId="1677C1CB" w14:textId="77777777" w:rsidR="0065704D" w:rsidRDefault="004216D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 xml:space="preserve">Обременения (ограничения) Аренда в пользу АО "ДИКСИ ЮГ", ИНН: 5036045205 сроком с 20.12.2023 по 17.03.2033, номер государственной регистрации </w:t>
      </w:r>
      <w:r>
        <w:rPr>
          <w:color w:val="000000"/>
          <w:sz w:val="22"/>
          <w:szCs w:val="22"/>
        </w:rPr>
        <w:t>50:34:0000000:22388-50/112/2023-2</w:t>
      </w:r>
      <w:r>
        <w:rPr>
          <w:sz w:val="22"/>
          <w:szCs w:val="22"/>
          <w:shd w:val="clear" w:color="auto" w:fill="FFFFFF"/>
        </w:rPr>
        <w:t xml:space="preserve">. </w:t>
      </w:r>
    </w:p>
    <w:p w14:paraId="0B524704" w14:textId="77777777" w:rsidR="0065704D" w:rsidRDefault="004216D3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Начальная цена лота устанавливается в размере </w:t>
      </w:r>
      <w:r>
        <w:rPr>
          <w:b/>
          <w:color w:val="000000"/>
          <w:sz w:val="22"/>
          <w:szCs w:val="22"/>
        </w:rPr>
        <w:t>41 000 000 (Сорок один миллион)</w:t>
      </w:r>
      <w:r>
        <w:rPr>
          <w:rFonts w:cs="Times New Roman"/>
          <w:b/>
          <w:color w:val="000000"/>
          <w:sz w:val="22"/>
          <w:szCs w:val="22"/>
        </w:rPr>
        <w:t xml:space="preserve"> рублей 00 копеек.</w:t>
      </w:r>
    </w:p>
    <w:p w14:paraId="6E7B15C1" w14:textId="77777777" w:rsidR="0065704D" w:rsidRDefault="004216D3">
      <w:pPr>
        <w:ind w:right="-57" w:firstLine="567"/>
        <w:jc w:val="both"/>
        <w:rPr>
          <w:rFonts w:eastAsia="Calibri" w:cs="Times New Roman"/>
          <w:b/>
          <w:sz w:val="22"/>
          <w:szCs w:val="22"/>
          <w:lang w:eastAsia="en-US" w:bidi="ar-SA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Сумма задатка – </w:t>
      </w:r>
      <w:r>
        <w:rPr>
          <w:b/>
          <w:color w:val="000000"/>
          <w:sz w:val="22"/>
          <w:szCs w:val="22"/>
        </w:rPr>
        <w:t>4 100 000 (Четыре миллиона сто тысяч) рублей 00 копеек</w:t>
      </w:r>
      <w:r>
        <w:rPr>
          <w:rFonts w:eastAsia="Calibri" w:cs="Times New Roman"/>
          <w:b/>
          <w:sz w:val="22"/>
          <w:szCs w:val="22"/>
          <w:lang w:eastAsia="en-US" w:bidi="ar-SA"/>
        </w:rPr>
        <w:t>.</w:t>
      </w:r>
    </w:p>
    <w:p w14:paraId="02FE7AE3" w14:textId="77777777" w:rsidR="0065704D" w:rsidRDefault="0065704D">
      <w:pPr>
        <w:ind w:right="-57" w:firstLine="567"/>
        <w:jc w:val="both"/>
        <w:rPr>
          <w:rFonts w:eastAsia="Calibri" w:cs="Times New Roman"/>
          <w:b/>
          <w:sz w:val="22"/>
          <w:szCs w:val="22"/>
          <w:lang w:eastAsia="en-US" w:bidi="ar-SA"/>
        </w:rPr>
      </w:pPr>
    </w:p>
    <w:p w14:paraId="77BD0DFC" w14:textId="77777777" w:rsidR="0065704D" w:rsidRDefault="004216D3">
      <w:pPr>
        <w:ind w:right="-57" w:firstLine="567"/>
        <w:jc w:val="both"/>
        <w:rPr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Шаг аукциона на повышение – </w:t>
      </w:r>
      <w:r>
        <w:rPr>
          <w:b/>
          <w:color w:val="000000"/>
          <w:sz w:val="22"/>
          <w:szCs w:val="22"/>
        </w:rPr>
        <w:t>1 230 000 (Один миллион двести тридцать тысяч) рублей 00 копеек</w:t>
      </w:r>
      <w:r>
        <w:rPr>
          <w:sz w:val="22"/>
          <w:szCs w:val="22"/>
        </w:rPr>
        <w:t>.</w:t>
      </w:r>
    </w:p>
    <w:p w14:paraId="2ACE6D3E" w14:textId="77777777" w:rsidR="0065704D" w:rsidRDefault="004216D3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4C41B545" w14:textId="77777777" w:rsidR="0065704D" w:rsidRDefault="004216D3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r>
        <w:fldChar w:fldCharType="begin"/>
      </w:r>
      <w:r w:rsidRPr="004216D3">
        <w:rPr>
          <w:lang w:val="en-US"/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sz w:val="22"/>
          <w:szCs w:val="22"/>
          <w:u w:val="single"/>
          <w:lang w:val="en-US"/>
        </w:rPr>
        <w:t>-</w:t>
      </w:r>
      <w:r>
        <w:fldChar w:fldCharType="end"/>
      </w:r>
      <w:r>
        <w:fldChar w:fldCharType="begin"/>
      </w:r>
      <w:r w:rsidRPr="004216D3">
        <w:rPr>
          <w:lang w:val="en-US"/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sz w:val="22"/>
          <w:szCs w:val="22"/>
          <w:u w:val="single"/>
          <w:lang w:val="en-US"/>
        </w:rPr>
        <w:t>online</w:t>
      </w:r>
      <w:r>
        <w:fldChar w:fldCharType="end"/>
      </w:r>
      <w:r>
        <w:fldChar w:fldCharType="begin"/>
      </w:r>
      <w:r w:rsidRPr="004216D3">
        <w:rPr>
          <w:lang w:val="en-US"/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sz w:val="22"/>
          <w:szCs w:val="22"/>
          <w:u w:val="single"/>
          <w:lang w:val="en-US"/>
        </w:rPr>
        <w:t>.</w:t>
      </w:r>
      <w:r>
        <w:fldChar w:fldCharType="end"/>
      </w:r>
      <w:r>
        <w:fldChar w:fldCharType="begin"/>
      </w:r>
      <w:r w:rsidRPr="004216D3">
        <w:rPr>
          <w:lang w:val="en-US"/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sz w:val="22"/>
          <w:szCs w:val="22"/>
          <w:u w:val="single"/>
          <w:lang w:val="en-US"/>
        </w:rPr>
        <w:t>ru</w:t>
      </w:r>
      <w:r>
        <w:fldChar w:fldCharType="end"/>
      </w:r>
      <w:r>
        <w:fldChar w:fldCharType="begin"/>
      </w:r>
      <w:r w:rsidRPr="004216D3">
        <w:rPr>
          <w:lang w:val="en-US"/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sz w:val="22"/>
          <w:szCs w:val="22"/>
          <w:lang w:val="en-US"/>
        </w:rPr>
        <w:t xml:space="preserve"> </w:t>
      </w:r>
      <w:r>
        <w:fldChar w:fldCharType="end"/>
      </w:r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0FD3F86D" w14:textId="77777777" w:rsidR="0065704D" w:rsidRDefault="004216D3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ab/>
      </w:r>
    </w:p>
    <w:p w14:paraId="51EE37B3" w14:textId="77777777" w:rsidR="0065704D" w:rsidRDefault="004216D3">
      <w:pPr>
        <w:spacing w:line="259" w:lineRule="auto"/>
        <w:ind w:left="721"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 xml:space="preserve"> </w:t>
      </w:r>
    </w:p>
    <w:p w14:paraId="3ADBC085" w14:textId="77777777" w:rsidR="0065704D" w:rsidRDefault="004216D3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УСЛОВИЯ ПРОВЕДЕНИЯ АУКЦИОНА:</w:t>
      </w:r>
    </w:p>
    <w:p w14:paraId="1B7576C6" w14:textId="77777777" w:rsidR="0065704D" w:rsidRDefault="004216D3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45A5636" w14:textId="77777777" w:rsidR="0065704D" w:rsidRDefault="004216D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18AA05A6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4DA77557" w14:textId="77777777" w:rsidR="0065704D" w:rsidRDefault="004216D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2C4D61C0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FABBFBE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9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0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6AE7B051" w14:textId="77777777" w:rsidR="0065704D" w:rsidRDefault="004216D3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5563FA87" w14:textId="77777777" w:rsidR="0065704D" w:rsidRDefault="004216D3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778EE47B" w14:textId="77777777" w:rsidR="0065704D" w:rsidRDefault="004216D3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3FE041EA" w14:textId="77777777" w:rsidR="0065704D" w:rsidRDefault="004216D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94D71F8" w14:textId="77777777" w:rsidR="0065704D" w:rsidRDefault="004216D3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4B1A0744" w14:textId="77777777" w:rsidR="0065704D" w:rsidRDefault="004216D3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4095A32E" w14:textId="77777777" w:rsidR="0065704D" w:rsidRDefault="004216D3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47A1EFA1" w14:textId="77777777" w:rsidR="0065704D" w:rsidRDefault="004216D3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2A72DE1D" w14:textId="77777777" w:rsidR="0065704D" w:rsidRDefault="004216D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3BFC439" w14:textId="77777777" w:rsidR="0065704D" w:rsidRDefault="004216D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3ED76F56" w14:textId="77777777" w:rsidR="0065704D" w:rsidRDefault="004216D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69D70BA9" w14:textId="77777777" w:rsidR="0065704D" w:rsidRDefault="004216D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79E72EEE" w14:textId="77777777" w:rsidR="0065704D" w:rsidRDefault="004216D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50046D0" w14:textId="77777777" w:rsidR="0065704D" w:rsidRDefault="004216D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66A97832" w14:textId="77777777" w:rsidR="0065704D" w:rsidRDefault="004216D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E74FFD1" w14:textId="77777777" w:rsidR="0065704D" w:rsidRDefault="004216D3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3986ACC0" w14:textId="77777777" w:rsidR="0065704D" w:rsidRDefault="004216D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E9E0196" w14:textId="77777777" w:rsidR="0065704D" w:rsidRDefault="004216D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</w:t>
      </w:r>
      <w:r>
        <w:rPr>
          <w:rFonts w:cs="Times New Roman"/>
          <w:sz w:val="22"/>
          <w:szCs w:val="22"/>
        </w:rPr>
        <w:lastRenderedPageBreak/>
        <w:t xml:space="preserve">индивидуальных предпринимателей; </w:t>
      </w:r>
    </w:p>
    <w:p w14:paraId="0EAFCE68" w14:textId="77777777" w:rsidR="0065704D" w:rsidRDefault="004216D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098E2973" w14:textId="77777777" w:rsidR="0065704D" w:rsidRDefault="0065704D">
      <w:pPr>
        <w:ind w:right="60"/>
        <w:jc w:val="both"/>
        <w:rPr>
          <w:rFonts w:cs="Times New Roman"/>
          <w:sz w:val="22"/>
          <w:szCs w:val="22"/>
        </w:rPr>
      </w:pPr>
    </w:p>
    <w:p w14:paraId="2DD8E710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52512D2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2A500378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5AA1CBC3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0C12E863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4C69CAB2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1191F95D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4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5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8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8183170" w14:textId="77777777" w:rsidR="0065704D" w:rsidRDefault="004216D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32D688F" w14:textId="77777777" w:rsidR="0065704D" w:rsidRDefault="004216D3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40110BBE" w14:textId="77777777" w:rsidR="0065704D" w:rsidRDefault="0065704D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68FC5109" w14:textId="77777777" w:rsidR="0065704D" w:rsidRDefault="004216D3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24 марта 2025 </w:t>
      </w:r>
      <w:r>
        <w:rPr>
          <w:rFonts w:cs="Times New Roman"/>
          <w:b/>
          <w:sz w:val="22"/>
          <w:szCs w:val="22"/>
        </w:rPr>
        <w:t>года</w:t>
      </w:r>
    </w:p>
    <w:p w14:paraId="32BDBE61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43D6F99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33EF0AB0" w14:textId="77777777" w:rsidR="0065704D" w:rsidRDefault="004216D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479CE10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7FE32AA1" w14:textId="77777777" w:rsidR="0065704D" w:rsidRDefault="004216D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8E75534" w14:textId="77777777" w:rsidR="0065704D" w:rsidRDefault="004216D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6DBC8953" w14:textId="77777777" w:rsidR="0065704D" w:rsidRDefault="004216D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4ED2265" w14:textId="77777777" w:rsidR="0065704D" w:rsidRDefault="004216D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484D7699" w14:textId="77777777" w:rsidR="0065704D" w:rsidRDefault="004216D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ECBB9CD" w14:textId="77777777" w:rsidR="0065704D" w:rsidRDefault="004216D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48A3CEBB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4F3EACEE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327D0DDD" w14:textId="77777777" w:rsidR="0065704D" w:rsidRDefault="004216D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289A43E" w14:textId="77777777" w:rsidR="0065704D" w:rsidRDefault="004216D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56E808A" w14:textId="77777777" w:rsidR="0065704D" w:rsidRDefault="004216D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B4619CF" w14:textId="77777777" w:rsidR="0065704D" w:rsidRDefault="004216D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3B58E55A" w14:textId="77777777" w:rsidR="0065704D" w:rsidRDefault="004216D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5C638EA7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2647827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362680E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13EAC8A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1C6E009A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>
        <w:rPr>
          <w:rFonts w:cs="Times New Roman"/>
          <w:sz w:val="22"/>
          <w:szCs w:val="22"/>
        </w:rPr>
        <w:t xml:space="preserve">е на электронной площадке www.lot-online.ru. </w:t>
      </w:r>
    </w:p>
    <w:p w14:paraId="4319DEF3" w14:textId="77777777" w:rsidR="0065704D" w:rsidRDefault="0065704D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528AE34C" w14:textId="77777777" w:rsidR="0065704D" w:rsidRDefault="004216D3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353EBE57" w14:textId="77777777" w:rsidR="0065704D" w:rsidRDefault="004216D3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4318E061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2C64BBBC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F82F49D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4DEEF24B" w14:textId="77777777" w:rsidR="0065704D" w:rsidRDefault="004216D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2D1F71E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2C022BDE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A59A1B0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 проведении открытых торгов время проведения торгов определяется в следующем порядке:</w:t>
      </w:r>
    </w:p>
    <w:p w14:paraId="0B9CC611" w14:textId="77777777" w:rsidR="0065704D" w:rsidRDefault="004216D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8672796" w14:textId="77777777" w:rsidR="0065704D" w:rsidRDefault="004216D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48665BD1" w14:textId="77777777" w:rsidR="0065704D" w:rsidRDefault="004216D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19DD2EDB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555B3770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276AA027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408EB130" w14:textId="77777777" w:rsidR="0065704D" w:rsidRDefault="004216D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D30610B" w14:textId="77777777" w:rsidR="0065704D" w:rsidRDefault="004216D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407BE56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381DACD4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57C14B5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64335FD5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21F066CA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EA42941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ACF5C3C" w14:textId="77777777" w:rsidR="0065704D" w:rsidRDefault="0065704D">
      <w:pPr>
        <w:ind w:left="-15" w:right="60"/>
        <w:jc w:val="both"/>
        <w:rPr>
          <w:rFonts w:cs="Times New Roman"/>
          <w:sz w:val="22"/>
          <w:szCs w:val="22"/>
        </w:rPr>
      </w:pPr>
    </w:p>
    <w:p w14:paraId="2012376D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75E50AF7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6EE292AC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0521D4E3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7DF0BA70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172D60D0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  <w:sz w:val="22"/>
          <w:szCs w:val="22"/>
        </w:rPr>
        <w:t>www.lot-online.ru .</w:t>
      </w:r>
      <w:proofErr w:type="gramEnd"/>
    </w:p>
    <w:p w14:paraId="42E7C46F" w14:textId="77777777" w:rsidR="0065704D" w:rsidRDefault="004216D3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5067AAFE" w14:textId="77777777" w:rsidR="0065704D" w:rsidRDefault="004216D3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Объекта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  <w:sz w:val="22"/>
          <w:szCs w:val="22"/>
        </w:rPr>
        <w:t>10 (десяти)</w:t>
      </w:r>
      <w:r>
        <w:rPr>
          <w:rFonts w:cs="Times New Roman"/>
          <w:b/>
          <w:sz w:val="22"/>
          <w:szCs w:val="22"/>
        </w:rPr>
        <w:t xml:space="preserve"> рабочих дней после подведения итогов аукциона в соответствии с примерной формой, размещенной на сайте www.lot-</w:t>
      </w:r>
      <w:r>
        <w:rPr>
          <w:rFonts w:cs="Times New Roman"/>
          <w:b/>
          <w:sz w:val="22"/>
          <w:szCs w:val="22"/>
        </w:rPr>
        <w:lastRenderedPageBreak/>
        <w:t xml:space="preserve">online.ru в разделе «карточка лота». </w:t>
      </w:r>
    </w:p>
    <w:p w14:paraId="3417B5DB" w14:textId="77777777" w:rsidR="0065704D" w:rsidRDefault="004216D3" w:rsidP="004216D3">
      <w:pPr>
        <w:spacing w:line="269" w:lineRule="auto"/>
        <w:ind w:left="-17" w:right="62" w:firstLine="726"/>
        <w:jc w:val="both"/>
        <w:rPr>
          <w:b/>
          <w:bCs/>
          <w:sz w:val="22"/>
          <w:szCs w:val="22"/>
        </w:rPr>
      </w:pPr>
      <w:r w:rsidRPr="004216D3">
        <w:rPr>
          <w:b/>
          <w:bCs/>
          <w:sz w:val="22"/>
          <w:szCs w:val="22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</w:t>
      </w:r>
    </w:p>
    <w:p w14:paraId="0CA85566" w14:textId="77777777" w:rsidR="0065704D" w:rsidRDefault="004216D3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30E0DE6E" w14:textId="77777777" w:rsidR="0065704D" w:rsidRDefault="004216D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3DC1FA87" w14:textId="77777777" w:rsidR="0065704D" w:rsidRDefault="004216D3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10 (десяти) рабочих дней с даты получения от Продавца уведомления с предложением заключить договор купли-продажи Объекта. При этом оплата цены Объекта производится участником аукциона, сделавшим предпоследнее</w:t>
      </w:r>
      <w:r>
        <w:rPr>
          <w:rFonts w:cs="Times New Roman"/>
          <w:sz w:val="22"/>
          <w:szCs w:val="22"/>
        </w:rPr>
        <w:t xml:space="preserve"> предложение по цене Объекта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55B4DB58" w14:textId="77777777" w:rsidR="0065704D" w:rsidRDefault="004216D3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164F91B1" w14:textId="77777777" w:rsidR="0065704D" w:rsidRDefault="004216D3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0594FB29" w14:textId="77777777" w:rsidR="0065704D" w:rsidRDefault="0065704D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3F740ECA" w14:textId="77777777" w:rsidR="0065704D" w:rsidRDefault="004216D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+7(967) 246-44-02, +7(915) 379-40-57 </w:t>
      </w:r>
    </w:p>
    <w:p w14:paraId="62682C61" w14:textId="77777777" w:rsidR="0065704D" w:rsidRDefault="004216D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39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40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41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42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517B6CA3" w14:textId="77777777" w:rsidR="0065704D" w:rsidRDefault="0065704D">
      <w:pPr>
        <w:ind w:left="567" w:right="60"/>
        <w:jc w:val="both"/>
        <w:rPr>
          <w:rFonts w:cs="Times New Roman"/>
          <w:sz w:val="22"/>
          <w:szCs w:val="22"/>
        </w:rPr>
      </w:pPr>
    </w:p>
    <w:p w14:paraId="07039C89" w14:textId="77777777" w:rsidR="0065704D" w:rsidRDefault="0065704D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3098D5CA" w14:textId="77777777" w:rsidR="0065704D" w:rsidRDefault="004216D3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724E6BB0" w14:textId="12A1173D" w:rsidR="0065704D" w:rsidRDefault="004216D3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</w:t>
      </w:r>
      <w:r>
        <w:rPr>
          <w:rFonts w:cs="Times New Roman"/>
          <w:sz w:val="22"/>
          <w:szCs w:val="22"/>
        </w:rPr>
        <w:t>и</w:t>
      </w:r>
      <w:r>
        <w:rPr>
          <w:rFonts w:cs="Times New Roman"/>
          <w:sz w:val="22"/>
          <w:szCs w:val="22"/>
        </w:rPr>
        <w:t xml:space="preserve"> из ЕГРН</w:t>
      </w:r>
    </w:p>
    <w:p w14:paraId="45863FD0" w14:textId="77777777" w:rsidR="0065704D" w:rsidRDefault="0065704D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65704D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80D7" w14:textId="77777777" w:rsidR="0065704D" w:rsidRDefault="004216D3">
      <w:r>
        <w:separator/>
      </w:r>
    </w:p>
  </w:endnote>
  <w:endnote w:type="continuationSeparator" w:id="0">
    <w:p w14:paraId="32BE329B" w14:textId="77777777" w:rsidR="0065704D" w:rsidRDefault="0042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736C" w14:textId="77777777" w:rsidR="0065704D" w:rsidRDefault="004216D3">
      <w:r>
        <w:separator/>
      </w:r>
    </w:p>
  </w:footnote>
  <w:footnote w:type="continuationSeparator" w:id="0">
    <w:p w14:paraId="7C45CAD0" w14:textId="77777777" w:rsidR="0065704D" w:rsidRDefault="0042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2CC5"/>
    <w:multiLevelType w:val="multilevel"/>
    <w:tmpl w:val="8CA61CE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5790027A"/>
    <w:multiLevelType w:val="multilevel"/>
    <w:tmpl w:val="606A1C7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613203A9"/>
    <w:multiLevelType w:val="multilevel"/>
    <w:tmpl w:val="43B4D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5501B2"/>
    <w:multiLevelType w:val="multilevel"/>
    <w:tmpl w:val="547A54A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979144668">
    <w:abstractNumId w:val="0"/>
  </w:num>
  <w:num w:numId="2" w16cid:durableId="247429325">
    <w:abstractNumId w:val="1"/>
  </w:num>
  <w:num w:numId="3" w16cid:durableId="887646589">
    <w:abstractNumId w:val="3"/>
  </w:num>
  <w:num w:numId="4" w16cid:durableId="514923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4D"/>
    <w:rsid w:val="000C2F9D"/>
    <w:rsid w:val="004216D3"/>
    <w:rsid w:val="0065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622E"/>
  <w15:docId w15:val="{F66BC479-1376-4096-B083-D24A0DB1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consultantplus://offline/main?base=LAW;n=72518;fld=134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consultantplus://offline/main?base=LAW;n=72518;fld=134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3814</Words>
  <Characters>21741</Characters>
  <Application>Microsoft Office Word</Application>
  <DocSecurity>0</DocSecurity>
  <Lines>181</Lines>
  <Paragraphs>51</Paragraphs>
  <ScaleCrop>false</ScaleCrop>
  <Company/>
  <LinksUpToDate>false</LinksUpToDate>
  <CharactersWithSpaces>25504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56</cp:revision>
  <dcterms:created xsi:type="dcterms:W3CDTF">2022-09-30T07:14:00Z</dcterms:created>
  <dcterms:modified xsi:type="dcterms:W3CDTF">2025-01-14T17:34:00Z</dcterms:modified>
  <dc:language>ru-RU</dc:language>
</cp:coreProperties>
</file>