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65" w:type="dxa"/>
        <w:tblLayout w:type="fixed"/>
        <w:tblCellMar>
          <w:left w:w="0" w:type="dxa"/>
          <w:right w:w="0" w:type="dxa"/>
        </w:tblCellMar>
        <w:tblLook w:val="04A0"/>
      </w:tblPr>
      <w:tblGrid>
        <w:gridCol w:w="975"/>
        <w:gridCol w:w="945"/>
        <w:gridCol w:w="945"/>
        <w:gridCol w:w="945"/>
        <w:gridCol w:w="1440"/>
        <w:gridCol w:w="180"/>
        <w:gridCol w:w="945"/>
        <w:gridCol w:w="945"/>
        <w:gridCol w:w="945"/>
        <w:gridCol w:w="945"/>
        <w:gridCol w:w="1455"/>
      </w:tblGrid>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ДОГОВОР</w:t>
            </w:r>
          </w:p>
        </w:tc>
      </w:tr>
      <w:tr>
        <w:trPr>
          <w:cantSplit/>
          <w:trHeight w:val="270"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купли-продажи</w:t>
            </w:r>
          </w:p>
        </w:tc>
      </w:tr>
      <w:tr>
        <w:trPr>
          <w:cantSplit/>
          <w:trHeight w:val="270" w:hRule="atLeast"/>
        </w:trPr>
        <w:tc>
          <w:tcPr>
            <w:tcW w:w="10665" w:type="dxa"/>
            <w:gridSpan w:val="11"/>
            <w:shd w:val="clear" w:color="auto" w:fill="auto"/>
            <w:textDirection w:val="lrTb"/>
            <w:vAlign w:val="top"/>
          </w:tcPr>
          <w:p>
            <w:pPr>
              <w:spacing w:after="0"/>
              <w:wordWrap w:val="1"/>
              <w:jc w:val="both"/>
            </w:pPr>
            <w:r/>
            <w:r>
              <w:rPr>
                <w:rFonts w:ascii="Times New Roman" w:hAnsi="Times New Roman"/>
                <w:sz w:val="20"/>
                <w:szCs w:val="20"/>
              </w:rPr>
              <w:t>20.02.2025</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Мы, нижеподписавшиеся:</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Гражданин РФ Бойченко Виктор Владимирович (10.12.1958г.р., место рожд: г. Горловка ц-городского р-на Сталинской обл., адрес рег:  Удмуртская Респ, Балезинский р-н, Балезино п, 8 Марта ул,  54, СНИЛС06694516200, ИНН 180202065156, паспорт РФ серия 9413, номер 403690, выдан 27.06.2014, кем выдан ТП УФМС РОССИИ по Удмуртской республике в Балезинском районе, код подразделения 180-012),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Удмуртской Республики от 25.09.2024г. по делу №А71-13043/2024, именуемый в дальнейшем «Продавец», с одной стороны, и </w:t>
            </w:r>
          </w:p>
        </w:tc>
      </w:tr>
      <w:tr>
        <w:trPr>
          <w:cantSplit/>
          <w:trHeight w:val="135" w:hRule="atLeast"/>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1.  Предмет договора</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1.1.  В соответствии с Протоколом №  от 31.03.2025г. по продаже имущества Бойченко Виктора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cantSplit/>
          <w:trHeight w:val="0" w:hRule="auto"/>
        </w:trPr>
        <w:tc>
          <w:tcPr>
            <w:tcW w:w="10665" w:type="dxa"/>
            <w:gridSpan w:val="11"/>
            <w:shd w:val="clear" w:color="auto" w:fill="ffffff"/>
            <w:textDirection w:val="lrTb"/>
            <w:vAlign w:val="bottom"/>
          </w:tcPr>
          <w:p>
            <w:pPr>
              <w:spacing w:after="0"/>
              <w:wordWrap w:val="1"/>
              <w:jc w:val="both"/>
            </w:pPr>
            <w:r/>
            <w:r>
              <w:rPr>
                <w:rFonts w:ascii="Times New Roman" w:hAnsi="Times New Roman"/>
                <w:sz w:val="20"/>
                <w:szCs w:val="20"/>
              </w:rPr>
              <w:t>ЛОТ №1 - Земельный участок, площадь: 24м², адрес (местонахождение): Удмуртская Республика, Балезинский район, п. Балезино, ул. Механизаторов, категория земель: Земли населенных пунктов, разрешенное использование: для строительства гаража, кадастровый номер: 18:02:020052:119 </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cantSplit/>
          <w:trHeight w:val="195" w:hRule="atLeast"/>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42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2. Обязанности Сторон</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 Продавец обязуется:</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2.1.1. Передать Покупателю имущество по акту приема-передачи.</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2.2. Покупатель обязан:</w:t>
            </w:r>
          </w:p>
        </w:tc>
      </w:tr>
      <w:tr>
        <w:trPr>
          <w:cantSplit/>
          <w:trHeight w:val="285" w:hRule="atLeast"/>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2.2.1. Оплатить полную стоимость имущества в соответствии с настоящим договором.</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3. Цена и порядок расчетов</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3.1. Стоимость имущества составляет:</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31.03.2025г. на сайте https://lot-online.ru/, и указана в Протоколе  от 31.03.2025г. является окончательной и изменению не подлежит.</w:t>
            </w:r>
          </w:p>
        </w:tc>
      </w:tr>
      <w:tr>
        <w:trPr>
          <w:cantSplit/>
          <w:trHeight w:val="52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Бойченко Виктора Владимировича 40817810450185199142, ИНН должника: 180202065156</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 xml:space="preserve"> в течение тридцати дней с даты подписания настоящего договора.</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дкп от ... г. по имуществу ...»                                     </w:t>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4. Передача имущества и переход риска случайной гибели имущества</w:t>
            </w:r>
          </w:p>
        </w:tc>
      </w:tr>
      <w:tr>
        <w:trPr>
          <w:cantSplit/>
          <w:trHeight w:val="93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cantSplit/>
          <w:trHeight w:val="75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cantSplit/>
          <w:trHeight w:val="79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5. Возникновение права собственности</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6. Ответственность Сторон</w:t>
            </w:r>
          </w:p>
        </w:tc>
      </w:tr>
      <w:tr>
        <w:trPr>
          <w:cantSplit/>
          <w:trHeight w:val="72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cantSplit/>
          <w:trHeight w:val="52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cantSplit/>
          <w:trHeight w:val="246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cantSplit/>
          <w:trHeight w:val="106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tc>
      </w:tr>
      <w:tr>
        <w:trPr>
          <w:cantSplit/>
          <w:trHeight w:val="85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7. Порядок разрешения споров</w:t>
            </w:r>
          </w:p>
        </w:tc>
      </w:tr>
      <w:tr>
        <w:trPr>
          <w:cantSplit/>
          <w:trHeight w:val="54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8. Условия изменения и расторжения договора</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cantSplit/>
          <w:trHeight w:val="75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cantSplit/>
          <w:trHeight w:val="114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cantSplit/>
          <w:trHeight w:val="67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9. Заключительные положения</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cantSplit/>
          <w:trHeight w:val="30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cantSplit/>
          <w:trHeight w:val="27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9.3. Настоящий Договор составлен в 2-х экземплярах, имеющих одинаковую юридическую силу.</w:t>
            </w:r>
          </w:p>
        </w:tc>
      </w:tr>
      <w:tr>
        <w:trPr>
          <w:cantSplit/>
          <w:trHeight w:val="121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10. Реквизиты и подписи Сторон</w:t>
            </w:r>
          </w:p>
        </w:tc>
      </w:tr>
      <w:tr>
        <w:trPr>
          <w:cantSplit/>
          <w:trHeight w:val="285" w:hRule="atLeast"/>
        </w:trPr>
        <w:tc>
          <w:tcPr>
            <w:tcW w:w="5250" w:type="dxa"/>
            <w:gridSpan w:val="5"/>
            <w:shd w:val="clear" w:color="auto" w:fill="auto"/>
            <w:textDirection w:val="lrTb"/>
            <w:vAlign w:val="bottom"/>
          </w:tcPr>
          <w:p>
            <w:pPr>
              <w:spacing w:after="0"/>
              <w:wordWrap w:val="1"/>
              <w:jc w:val="center"/>
            </w:pPr>
            <w:r/>
            <w:r>
              <w:rPr>
                <w:rFonts w:ascii="Times New Roman" w:hAnsi="Times New Roman"/>
                <w:b/>
                <w:sz w:val="20"/>
                <w:szCs w:val="20"/>
              </w:rPr>
              <w:t>Продавец:</w:t>
            </w:r>
          </w:p>
        </w:tc>
        <w:tc>
          <w:tcPr>
            <w:tcW w:w="5415" w:type="dxa"/>
            <w:gridSpan w:val="6"/>
            <w:shd w:val="clear" w:color="auto" w:fill="auto"/>
            <w:textDirection w:val="lrTb"/>
            <w:vAlign w:val="bottom"/>
          </w:tcPr>
          <w:p>
            <w:pPr>
              <w:spacing w:after="0"/>
              <w:wordWrap w:val="1"/>
              <w:jc w:val="center"/>
            </w:pPr>
            <w:r/>
            <w:r>
              <w:rPr>
                <w:rFonts w:ascii="Times New Roman" w:hAnsi="Times New Roman"/>
                <w:b/>
                <w:sz w:val="20"/>
                <w:szCs w:val="20"/>
              </w:rPr>
              <w:t>Покупатель:</w:t>
            </w:r>
          </w:p>
        </w:tc>
      </w:tr>
      <w:tr>
        <w:trPr>
          <w:cantSplit/>
          <w:trHeight w:val="285" w:hRule="atLeast"/>
        </w:trPr>
        <w:tc>
          <w:tcPr>
            <w:tcW w:w="5250" w:type="dxa"/>
            <w:gridSpan w:val="5"/>
            <w:shd w:val="clear" w:color="auto" w:fill="auto"/>
            <w:textDirection w:val="lrTb"/>
            <w:vAlign w:val="bottom"/>
          </w:tcPr>
          <w:p>
            <w:pPr>
              <w:spacing w:after="0"/>
              <w:wordWrap w:val="1"/>
              <w:jc w:val="center"/>
            </w:pPr>
            <w:r/>
            <w:r>
              <w:rPr>
                <w:rFonts w:ascii="Times New Roman" w:hAnsi="Times New Roman"/>
                <w:b/>
                <w:sz w:val="20"/>
                <w:szCs w:val="20"/>
              </w:rPr>
              <w:t>Гражданин РФ</w:t>
            </w:r>
          </w:p>
        </w:tc>
        <w:tc>
          <w:tcPr>
            <w:tcW w:w="5415" w:type="dxa"/>
            <w:gridSpan w:val="6"/>
            <w:shd w:val="clear" w:color="auto" w:fill="auto"/>
            <w:textDirection w:val="lrTb"/>
            <w:vAlign w:val="bottom"/>
          </w:tcPr>
          <w:p>
            <w:pPr>
              <w:spacing w:after="0"/>
              <w:wordWrap w:val="1"/>
              <w:jc w:val="center"/>
            </w:pPr>
            <w:r/>
            <w:r>
              <w:rPr>
                <w:rFonts w:ascii="Times New Roman" w:hAnsi="Times New Roman"/>
                <w:b/>
                <w:sz w:val="20"/>
                <w:szCs w:val="20"/>
              </w:rPr>
              <w:t>Гражданин РФ</w:t>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Бойченко Виктор Владимирович (10.12.1958г.р., место рожд: г. Горловка ц-городского р-на Сталинской обл., адрес рег:  Удмуртская Респ, Балезинский р-н, Балезино п, 8 Марта ул,  54, СНИЛС06694516200, ИНН 180202065156, паспорт РФ серия 9413, номер 403690, выдан 27.06.2014, кем выдан ТП УФМС РОССИИ по Удмуртской республике в Балезинском районе, код подразделения 180-012)                                                                         </w:t>
            </w:r>
          </w:p>
        </w:tc>
        <w:tc>
          <w:tcPr>
            <w:tcW w:w="180" w:type="dxa"/>
            <w:shd w:val="clear" w:color="auto" w:fill="auto"/>
            <w:tcMar/>
            <w:textDirection w:val="lrTb"/>
            <w:vAlign w:val="top"/>
          </w:tcPr>
          <w:p>
            <w:pPr>
              <w:spacing w:after="0"/>
              <w:wordWrap w:val="1"/>
              <w:jc w:val="both"/>
            </w:pPr>
            <w:r/>
          </w:p>
        </w:tc>
        <w:tc>
          <w:tcPr>
            <w:tcW w:w="5235" w:type="dxa"/>
            <w:gridSpan w:val="5"/>
            <w:shd w:val="clear" w:color="auto" w:fill="auto"/>
            <w:tcMar/>
            <w:textDirection w:val="lrTb"/>
            <w:vAlign w:val="top"/>
          </w:tcPr>
          <w:p>
            <w:pPr>
              <w:spacing w:after="0"/>
              <w:wordWrap w:val="1"/>
              <w:jc w:val="both"/>
            </w:pPr>
            <w:r/>
            <w:r>
              <w:rPr>
                <w:rFonts w:ascii="Times New Roman" w:hAnsi="Times New Roman"/>
                <w:b/>
                <w:sz w:val="20"/>
                <w:szCs w:val="20"/>
              </w:rPr>
              <w:t xml:space="preserve"> </w:t>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sz w:val="20"/>
                <w:szCs w:val="20"/>
              </w:rPr>
              <w:t>Реквизиты:</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Бойченко Виктора Владимировича 40817810450185199142                                                                         </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sz w:val="20"/>
                <w:szCs w:val="20"/>
              </w:rPr>
              <w:t>ИНН должника: 180202065156</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Финансовый управляющий</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Бойченко Виктора Владимировича</w:t>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360" w:hRule="atLeast"/>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Сергиенко Светлана Данисовна</w:t>
            </w:r>
          </w:p>
        </w:tc>
        <w:tc>
          <w:tcPr>
            <w:tcW w:w="180" w:type="dxa"/>
            <w:shd w:val="clear" w:color="auto" w:fill="auto"/>
            <w:tcMar/>
            <w:textDirection w:val="lrTb"/>
            <w:vAlign w:val="bottom"/>
          </w:tcPr>
          <w:p>
            <w:pPr>
              <w:spacing w:after="0"/>
              <w:ind/>
              <w:wordWrap w:val="1"/>
              <w:jc w:val="both"/>
            </w:pPr>
            <w:r/>
          </w:p>
        </w:tc>
        <w:tc>
          <w:tcPr>
            <w:tcW w:w="5235" w:type="dxa"/>
            <w:gridSpan w:val="5"/>
            <w:shd w:val="clear" w:color="auto" w:fill="auto"/>
            <w:tcMar/>
            <w:textDirection w:val="lrTb"/>
            <w:vAlign w:val="bottom"/>
          </w:tcPr>
          <w:p>
            <w:pPr>
              <w:spacing w:after="0"/>
              <w:ind/>
              <w:wordWrap w:val="1"/>
              <w:jc w:val="both"/>
            </w:pPr>
            <w: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