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BD4E">
      <w:pPr>
        <w:pStyle w:val="5"/>
        <w:jc w:val="right"/>
        <w:rPr>
          <w:rFonts w:ascii="Times New Roman" w:hAnsi="Times New Roman"/>
          <w:sz w:val="20"/>
          <w:szCs w:val="20"/>
        </w:rPr>
      </w:pPr>
    </w:p>
    <w:p w14:paraId="0E9C50F6">
      <w:pPr>
        <w:numPr>
          <w:ilvl w:val="1"/>
          <w:numId w:val="1"/>
        </w:numPr>
        <w:tabs>
          <w:tab w:val="left" w:pos="0"/>
        </w:tabs>
        <w:suppressAutoHyphens w:val="0"/>
        <w:spacing w:after="0" w:line="240" w:lineRule="auto"/>
        <w:jc w:val="center"/>
        <w:outlineLvl w:val="1"/>
        <w:rPr>
          <w:rFonts w:ascii="Times New Roman" w:hAnsi="Times New Roman"/>
          <w:bCs/>
          <w:iCs/>
        </w:rPr>
      </w:pPr>
      <w:r>
        <w:rPr>
          <w:rFonts w:ascii="Times New Roman" w:hAnsi="Times New Roman"/>
          <w:b/>
          <w:bCs/>
        </w:rPr>
        <w:t>Предварительный Договор купли-продажи доли в праве общей долевой собственности №1</w:t>
      </w:r>
    </w:p>
    <w:p w14:paraId="1DDAA531">
      <w:pPr>
        <w:suppressAutoHyphens w:val="0"/>
        <w:spacing w:after="0" w:line="240" w:lineRule="auto"/>
        <w:rPr>
          <w:rFonts w:ascii="Times New Roman" w:hAnsi="Times New Roman"/>
          <w:lang w:eastAsia="ru-RU"/>
        </w:rPr>
      </w:pPr>
    </w:p>
    <w:tbl>
      <w:tblPr>
        <w:tblStyle w:val="3"/>
        <w:tblW w:w="0" w:type="dxa"/>
        <w:tblInd w:w="0" w:type="dxa"/>
        <w:tblLayout w:type="fixed"/>
        <w:tblCellMar>
          <w:top w:w="0" w:type="dxa"/>
          <w:left w:w="0" w:type="dxa"/>
          <w:bottom w:w="0" w:type="dxa"/>
          <w:right w:w="0" w:type="dxa"/>
        </w:tblCellMar>
      </w:tblPr>
      <w:tblGrid>
        <w:gridCol w:w="4929"/>
        <w:gridCol w:w="4710"/>
      </w:tblGrid>
      <w:tr w14:paraId="2A6D4B95">
        <w:tblPrEx>
          <w:tblCellMar>
            <w:top w:w="0" w:type="dxa"/>
            <w:left w:w="0" w:type="dxa"/>
            <w:bottom w:w="0" w:type="dxa"/>
            <w:right w:w="0" w:type="dxa"/>
          </w:tblCellMar>
        </w:tblPrEx>
        <w:trPr>
          <w:trHeight w:val="270" w:hRule="atLeast"/>
          <w:tblHeader/>
        </w:trPr>
        <w:tc>
          <w:tcPr>
            <w:tcW w:w="4929" w:type="dxa"/>
            <w:vAlign w:val="center"/>
          </w:tcPr>
          <w:p w14:paraId="680008A3">
            <w:pPr>
              <w:suppressAutoHyphens w:val="0"/>
              <w:snapToGrid w:val="0"/>
              <w:spacing w:after="0" w:line="240" w:lineRule="auto"/>
              <w:rPr>
                <w:rFonts w:ascii="Times New Roman" w:hAnsi="Times New Roman"/>
                <w:i/>
                <w:iCs/>
                <w:lang w:eastAsia="ru-RU"/>
              </w:rPr>
            </w:pPr>
            <w:r>
              <w:rPr>
                <w:rFonts w:ascii="Times New Roman" w:hAnsi="Times New Roman"/>
                <w:lang w:eastAsia="ru-RU"/>
              </w:rPr>
              <w:t> г.Санкт-Петербург</w:t>
            </w:r>
          </w:p>
        </w:tc>
        <w:tc>
          <w:tcPr>
            <w:tcW w:w="4710" w:type="dxa"/>
            <w:vAlign w:val="center"/>
          </w:tcPr>
          <w:p w14:paraId="64584C20">
            <w:pPr>
              <w:suppressAutoHyphens w:val="0"/>
              <w:snapToGrid w:val="0"/>
              <w:spacing w:after="0" w:line="240" w:lineRule="auto"/>
              <w:jc w:val="center"/>
              <w:rPr>
                <w:rFonts w:ascii="Times New Roman" w:hAnsi="Times New Roman"/>
                <w:lang w:eastAsia="ru-RU"/>
              </w:rPr>
            </w:pPr>
            <w:r>
              <w:rPr>
                <w:rFonts w:ascii="Times New Roman" w:hAnsi="Times New Roman"/>
                <w:lang w:eastAsia="ru-RU"/>
              </w:rPr>
              <w:t xml:space="preserve">                                  «</w:t>
            </w:r>
            <w:r>
              <w:rPr>
                <w:rFonts w:hint="default" w:ascii="Times New Roman" w:hAnsi="Times New Roman"/>
                <w:lang w:val="en-US" w:eastAsia="ru-RU"/>
              </w:rPr>
              <w:t xml:space="preserve">  </w:t>
            </w:r>
            <w:r>
              <w:rPr>
                <w:rFonts w:ascii="Times New Roman" w:hAnsi="Times New Roman"/>
                <w:lang w:eastAsia="ru-RU"/>
              </w:rPr>
              <w:t>» апреля 202</w:t>
            </w:r>
            <w:r>
              <w:rPr>
                <w:rFonts w:hint="default" w:ascii="Times New Roman" w:hAnsi="Times New Roman"/>
                <w:lang w:val="en-US" w:eastAsia="ru-RU"/>
              </w:rPr>
              <w:t>5</w:t>
            </w:r>
            <w:r>
              <w:rPr>
                <w:rFonts w:ascii="Times New Roman" w:hAnsi="Times New Roman"/>
                <w:lang w:eastAsia="ru-RU"/>
              </w:rPr>
              <w:t xml:space="preserve"> года</w:t>
            </w:r>
          </w:p>
        </w:tc>
      </w:tr>
    </w:tbl>
    <w:p w14:paraId="3DF95272">
      <w:pPr>
        <w:suppressAutoHyphens w:val="0"/>
        <w:spacing w:after="0" w:line="240" w:lineRule="auto"/>
        <w:rPr>
          <w:rFonts w:ascii="Times New Roman" w:hAnsi="Times New Roman"/>
          <w:lang w:eastAsia="ru-RU"/>
        </w:rPr>
      </w:pPr>
      <w:r>
        <w:rPr>
          <w:rFonts w:ascii="Times New Roman" w:hAnsi="Times New Roman"/>
          <w:lang w:eastAsia="ru-RU"/>
        </w:rPr>
        <w:t> </w:t>
      </w:r>
      <w:bookmarkStart w:id="0" w:name="eC809B471"/>
      <w:bookmarkEnd w:id="0"/>
      <w:bookmarkStart w:id="1" w:name="linkContainere54"/>
      <w:bookmarkEnd w:id="1"/>
      <w:bookmarkStart w:id="2" w:name="linkContainere9CE2D1A7"/>
      <w:bookmarkEnd w:id="2"/>
    </w:p>
    <w:p w14:paraId="341AA65A">
      <w:pPr>
        <w:suppressAutoHyphens w:val="0"/>
        <w:spacing w:after="0" w:line="240" w:lineRule="auto"/>
        <w:ind w:firstLine="709"/>
        <w:jc w:val="both"/>
        <w:rPr>
          <w:rFonts w:ascii="Times New Roman" w:hAnsi="Times New Roman"/>
          <w:iCs/>
          <w:lang w:eastAsia="ru-RU"/>
        </w:rPr>
      </w:pPr>
      <w:r>
        <w:rPr>
          <w:rFonts w:ascii="Times New Roman" w:hAnsi="Times New Roman" w:eastAsia="Calibri"/>
          <w:lang w:eastAsia="en-US"/>
        </w:rPr>
        <w:t xml:space="preserve">Финансовый управляющий </w:t>
      </w:r>
      <w:r>
        <w:rPr>
          <w:rFonts w:ascii="Times New Roman" w:hAnsi="Times New Roman" w:eastAsia="Calibri"/>
          <w:lang w:eastAsia="en-US"/>
        </w:rPr>
        <w:t>Финансовый у</w:t>
      </w:r>
      <w:r>
        <w:rPr>
          <w:rFonts w:hint="default" w:ascii="Times New Roman" w:hAnsi="Times New Roman" w:eastAsia="Calibri" w:cs="Times New Roman"/>
          <w:sz w:val="20"/>
          <w:szCs w:val="20"/>
          <w:lang w:eastAsia="en-US"/>
        </w:rPr>
        <w:t xml:space="preserve">правляющий  </w:t>
      </w:r>
      <w:r>
        <w:rPr>
          <w:rFonts w:hint="default" w:ascii="Times New Roman" w:hAnsi="Times New Roman"/>
          <w:b w:val="0"/>
          <w:bCs/>
          <w:sz w:val="20"/>
          <w:szCs w:val="20"/>
        </w:rPr>
        <w:t xml:space="preserve">ИП Севастьянова Василия Константиновича (дата и место рождения: 27.04.1996, гор. Санкт-Петербург; адрес регистрации: 199034, Санкт-Петербург, 5-я линия В.О., д. 10, кв. 35; ОГРНИП: 318784700093536, ИНН: 780444032928; СНИЛС 166-460-610 72) </w:t>
      </w:r>
      <w:r>
        <w:rPr>
          <w:rFonts w:hint="default" w:ascii="Times New Roman" w:hAnsi="Times New Roman" w:eastAsia="Calibri" w:cs="Times New Roman"/>
          <w:sz w:val="20"/>
          <w:szCs w:val="20"/>
          <w:lang w:eastAsia="en-US"/>
        </w:rPr>
        <w:t xml:space="preserve">, Аксеник Дарья Сергеевна, именуемая в дальнейшем «Продавец» , действующая на основании Решения  </w:t>
      </w:r>
      <w:r>
        <w:rPr>
          <w:rFonts w:hint="default" w:ascii="Times New Roman" w:hAnsi="Times New Roman" w:eastAsia="Calibri"/>
          <w:sz w:val="20"/>
          <w:szCs w:val="20"/>
          <w:lang w:eastAsia="en-US"/>
        </w:rPr>
        <w:t>Арбитражного Суда г.СПб и ЛО по делу № А56-18770/2023 от 21.11.2023г.</w:t>
      </w:r>
      <w:r>
        <w:rPr>
          <w:rFonts w:ascii="Times New Roman" w:hAnsi="Times New Roman"/>
          <w:lang w:eastAsia="ru-RU"/>
        </w:rPr>
        <w:t xml:space="preserve">, с одной стороны, </w:t>
      </w:r>
      <w:r>
        <w:rPr>
          <w:rFonts w:ascii="Times New Roman" w:hAnsi="Times New Roman"/>
          <w:iCs/>
          <w:lang w:eastAsia="ru-RU"/>
        </w:rPr>
        <w:t xml:space="preserve">и </w:t>
      </w:r>
    </w:p>
    <w:p w14:paraId="4BC7C64C">
      <w:pPr>
        <w:suppressAutoHyphens w:val="0"/>
        <w:spacing w:after="0" w:line="240" w:lineRule="auto"/>
        <w:ind w:firstLine="709"/>
        <w:jc w:val="both"/>
        <w:rPr>
          <w:rFonts w:ascii="Times New Roman" w:hAnsi="Times New Roman"/>
          <w:iCs/>
          <w:lang w:eastAsia="ru-RU"/>
        </w:rPr>
      </w:pPr>
      <w:r>
        <w:rPr>
          <w:rFonts w:ascii="Times New Roman" w:hAnsi="Times New Roman"/>
          <w:iCs/>
          <w:lang w:eastAsia="ru-RU"/>
        </w:rPr>
        <w:t>_________________</w:t>
      </w:r>
      <w:r>
        <w:rPr>
          <w:rFonts w:ascii="Times New Roman" w:hAnsi="Times New Roman"/>
        </w:rPr>
        <w:t>(далее – Покупатель), с другой стороны</w:t>
      </w:r>
      <w:r>
        <w:rPr>
          <w:rFonts w:ascii="Times New Roman" w:hAnsi="Times New Roman"/>
          <w:i/>
          <w:iCs/>
        </w:rPr>
        <w:t xml:space="preserve">, </w:t>
      </w:r>
      <w:r>
        <w:rPr>
          <w:rFonts w:ascii="Times New Roman" w:hAnsi="Times New Roman"/>
        </w:rPr>
        <w:t xml:space="preserve">вместе именуемые «Стороны», </w:t>
      </w:r>
    </w:p>
    <w:p w14:paraId="4A0F34AA">
      <w:pPr>
        <w:spacing w:after="0" w:line="240" w:lineRule="auto"/>
        <w:ind w:firstLine="567"/>
        <w:jc w:val="both"/>
        <w:rPr>
          <w:rFonts w:ascii="Times New Roman" w:hAnsi="Times New Roman"/>
        </w:rPr>
      </w:pPr>
      <w:r>
        <w:rPr>
          <w:rFonts w:ascii="Times New Roman" w:hAnsi="Times New Roman"/>
        </w:rPr>
        <w:t>заключили настоящий договор купли-продажи имущества по результатам торгов, согласно протоколу подведения итогов торгов РАД-________ от __________ г. (далее – договор) о нижеследующем:</w:t>
      </w:r>
    </w:p>
    <w:p w14:paraId="44643C8B">
      <w:pPr>
        <w:numPr>
          <w:ilvl w:val="2"/>
          <w:numId w:val="1"/>
        </w:numPr>
        <w:tabs>
          <w:tab w:val="left" w:pos="0"/>
        </w:tabs>
        <w:suppressAutoHyphens w:val="0"/>
        <w:spacing w:after="0" w:line="240" w:lineRule="auto"/>
        <w:jc w:val="center"/>
        <w:outlineLvl w:val="2"/>
        <w:rPr>
          <w:rFonts w:ascii="Times New Roman" w:hAnsi="Times New Roman"/>
          <w:b/>
          <w:lang w:eastAsia="ru-RU"/>
        </w:rPr>
      </w:pPr>
    </w:p>
    <w:p w14:paraId="547371B8">
      <w:pPr>
        <w:numPr>
          <w:ilvl w:val="2"/>
          <w:numId w:val="1"/>
        </w:numPr>
        <w:tabs>
          <w:tab w:val="left" w:pos="0"/>
        </w:tabs>
        <w:suppressAutoHyphens w:val="0"/>
        <w:spacing w:after="0" w:line="240" w:lineRule="auto"/>
        <w:jc w:val="center"/>
        <w:outlineLvl w:val="2"/>
        <w:rPr>
          <w:rFonts w:ascii="Times New Roman" w:hAnsi="Times New Roman"/>
          <w:b/>
          <w:lang w:eastAsia="ru-RU"/>
        </w:rPr>
      </w:pPr>
      <w:r>
        <w:rPr>
          <w:rFonts w:ascii="Times New Roman" w:hAnsi="Times New Roman"/>
          <w:b/>
          <w:lang w:eastAsia="ru-RU"/>
        </w:rPr>
        <w:t>1. Предмет договора</w:t>
      </w:r>
    </w:p>
    <w:p w14:paraId="6BDE75C9">
      <w:pPr>
        <w:suppressAutoHyphens w:val="0"/>
        <w:spacing w:after="0" w:line="240" w:lineRule="auto"/>
        <w:jc w:val="both"/>
        <w:rPr>
          <w:rFonts w:ascii="Times New Roman" w:hAnsi="Times New Roman"/>
          <w:lang w:eastAsia="ru-RU"/>
        </w:rPr>
      </w:pPr>
    </w:p>
    <w:p w14:paraId="505986F8">
      <w:pPr>
        <w:numPr>
          <w:ilvl w:val="1"/>
          <w:numId w:val="2"/>
        </w:numPr>
        <w:suppressAutoHyphens w:val="0"/>
        <w:spacing w:after="0" w:line="240" w:lineRule="auto"/>
        <w:ind w:left="0" w:firstLine="567"/>
        <w:jc w:val="both"/>
        <w:rPr>
          <w:rFonts w:ascii="Times New Roman" w:hAnsi="Times New Roman"/>
        </w:rPr>
      </w:pPr>
      <w:r>
        <w:rPr>
          <w:rFonts w:ascii="Times New Roman" w:hAnsi="Times New Roman"/>
        </w:rPr>
        <w:t>В соответствии с настоящим договором Продавец передает в собственность Покупателю, а Покупатель принимает и оплачивает следующее имущество:</w:t>
      </w:r>
    </w:p>
    <w:p w14:paraId="159BC81D">
      <w:pPr>
        <w:spacing w:after="0" w:line="240" w:lineRule="auto"/>
        <w:ind w:left="972"/>
        <w:jc w:val="both"/>
        <w:rPr>
          <w:rFonts w:ascii="Times New Roman" w:hAnsi="Times New Roman"/>
        </w:rPr>
      </w:pPr>
    </w:p>
    <w:p w14:paraId="30779A42">
      <w:pPr>
        <w:spacing w:after="0" w:line="240" w:lineRule="auto"/>
        <w:ind w:firstLine="567"/>
        <w:jc w:val="both"/>
        <w:rPr>
          <w:rFonts w:ascii="Times New Roman" w:hAnsi="Times New Roman"/>
        </w:rPr>
      </w:pPr>
      <w:r>
        <w:rPr>
          <w:rFonts w:hint="default" w:ascii="Times New Roman" w:hAnsi="Times New Roman" w:eastAsia="Times New Roman"/>
        </w:rPr>
        <w:t>1/2 доли квартиры, находящейся по адресу: Санкт-Петербург, пр. Тихорецский, д.27, корп. 2, лит.А, кв.142, назначение – жилое, общей площадью 32,4 кв.м., этаж 12</w:t>
      </w:r>
    </w:p>
    <w:p w14:paraId="5B9807E4">
      <w:pPr>
        <w:spacing w:after="0" w:line="240" w:lineRule="auto"/>
        <w:ind w:firstLine="567"/>
        <w:jc w:val="both"/>
        <w:rPr>
          <w:rFonts w:ascii="Times New Roman" w:hAnsi="Times New Roman"/>
        </w:rPr>
      </w:pPr>
      <w:r>
        <w:rPr>
          <w:rFonts w:ascii="Times New Roman" w:hAnsi="Times New Roman"/>
        </w:rPr>
        <w:t xml:space="preserve">1.2. Настоящий договор заключен по результатам торов имуществом должника </w:t>
      </w:r>
      <w:r>
        <w:rPr>
          <w:rFonts w:hint="default" w:ascii="Times New Roman" w:hAnsi="Times New Roman"/>
          <w:b w:val="0"/>
          <w:bCs/>
          <w:sz w:val="20"/>
          <w:szCs w:val="20"/>
        </w:rPr>
        <w:t>Севастьянова Василия Константиновича</w:t>
      </w:r>
      <w:r>
        <w:rPr>
          <w:rFonts w:ascii="Times New Roman" w:hAnsi="Times New Roman" w:eastAsiaTheme="minorHAnsi"/>
          <w:bCs/>
          <w:lang w:eastAsia="en-US"/>
        </w:rPr>
        <w:t>,</w:t>
      </w:r>
      <w:r>
        <w:rPr>
          <w:rFonts w:ascii="Times New Roman" w:hAnsi="Times New Roman"/>
        </w:rPr>
        <w:t xml:space="preserve"> проводимых в ходе процедуры реализации имущества в соответствии с Положением о порядке и условиях проведения торгов по продаже  имущества</w:t>
      </w:r>
      <w:r>
        <w:rPr>
          <w:rFonts w:ascii="Times New Roman" w:hAnsi="Times New Roman" w:eastAsiaTheme="minorHAnsi"/>
          <w:bCs/>
          <w:lang w:eastAsia="en-US"/>
        </w:rPr>
        <w:t xml:space="preserve"> </w:t>
      </w:r>
      <w:r>
        <w:rPr>
          <w:rFonts w:hint="default" w:ascii="Times New Roman" w:hAnsi="Times New Roman"/>
          <w:b w:val="0"/>
          <w:bCs/>
          <w:sz w:val="20"/>
          <w:szCs w:val="20"/>
        </w:rPr>
        <w:t>Севастьянова Василия Константиновича</w:t>
      </w:r>
    </w:p>
    <w:p w14:paraId="446F5DE1">
      <w:pPr>
        <w:spacing w:after="0" w:line="240" w:lineRule="auto"/>
        <w:ind w:firstLine="567"/>
        <w:jc w:val="both"/>
        <w:rPr>
          <w:rFonts w:ascii="Times New Roman" w:hAnsi="Times New Roman"/>
        </w:rPr>
      </w:pPr>
      <w:r>
        <w:rPr>
          <w:rFonts w:ascii="Times New Roman" w:hAnsi="Times New Roman"/>
        </w:rPr>
        <w:t>1.4. Право собственности на имущество, риск случайной гибели, случайной порчи и утраты имущества переходит к Покупателю с момента его получения от Продавца по акту приема-передачи имущества, указанного в пункте 1.1 настоящего договора.</w:t>
      </w:r>
    </w:p>
    <w:p w14:paraId="7F716570">
      <w:pPr>
        <w:spacing w:after="0" w:line="240" w:lineRule="auto"/>
        <w:ind w:firstLine="567"/>
        <w:jc w:val="both"/>
        <w:rPr>
          <w:rFonts w:ascii="Times New Roman" w:hAnsi="Times New Roman"/>
        </w:rPr>
      </w:pPr>
      <w:r>
        <w:rPr>
          <w:rFonts w:ascii="Times New Roman" w:hAnsi="Times New Roman"/>
        </w:rPr>
        <w:t>1.5. Покупателю известны все существенные характеристики передаваемого имущества. Покупателем не могут быть предъявлены Продавцу какие бы то ни было требования, основанием которых могли бы явиться недостатки, включая требования об устранении недостатков или о снижении цены имущества. До заключения настоящего договора и принятия решения об участии в торгах Покупателем произведена подробная проверка характеристик, результаты которой полностью удовлетворяют Покупателя, о чем свидетельствует подпись Покупателя под настоящим договором.</w:t>
      </w:r>
    </w:p>
    <w:p w14:paraId="3C4D7EB0">
      <w:pPr>
        <w:spacing w:after="0" w:line="240" w:lineRule="auto"/>
        <w:ind w:firstLine="567"/>
        <w:jc w:val="both"/>
        <w:rPr>
          <w:rFonts w:ascii="Times New Roman" w:hAnsi="Times New Roman"/>
        </w:rPr>
      </w:pPr>
      <w:r>
        <w:rPr>
          <w:rFonts w:ascii="Times New Roman" w:hAnsi="Times New Roman"/>
        </w:rPr>
        <w:t>1.6. Никакое иное имущество, кроме как прямо предусмотренного в настоящем договоре, не входит в состав имущества.</w:t>
      </w:r>
    </w:p>
    <w:p w14:paraId="0401E94D">
      <w:pPr>
        <w:numPr>
          <w:ilvl w:val="2"/>
          <w:numId w:val="1"/>
        </w:numPr>
        <w:tabs>
          <w:tab w:val="left" w:pos="0"/>
        </w:tabs>
        <w:suppressAutoHyphens w:val="0"/>
        <w:spacing w:after="0" w:line="240" w:lineRule="auto"/>
        <w:ind w:left="0" w:hanging="13"/>
        <w:jc w:val="center"/>
        <w:outlineLvl w:val="2"/>
        <w:rPr>
          <w:rFonts w:ascii="Times New Roman" w:hAnsi="Times New Roman"/>
          <w:b/>
          <w:lang w:eastAsia="ru-RU"/>
        </w:rPr>
      </w:pPr>
    </w:p>
    <w:p w14:paraId="585FEDC3">
      <w:pPr>
        <w:numPr>
          <w:ilvl w:val="2"/>
          <w:numId w:val="1"/>
        </w:numPr>
        <w:tabs>
          <w:tab w:val="left" w:pos="0"/>
        </w:tabs>
        <w:suppressAutoHyphens w:val="0"/>
        <w:spacing w:after="0" w:line="240" w:lineRule="auto"/>
        <w:ind w:left="0" w:hanging="13"/>
        <w:jc w:val="center"/>
        <w:outlineLvl w:val="2"/>
        <w:rPr>
          <w:rFonts w:ascii="Times New Roman" w:hAnsi="Times New Roman"/>
          <w:b/>
          <w:lang w:eastAsia="ru-RU"/>
        </w:rPr>
      </w:pPr>
      <w:r>
        <w:rPr>
          <w:rFonts w:ascii="Times New Roman" w:hAnsi="Times New Roman"/>
          <w:b/>
          <w:lang w:eastAsia="ru-RU"/>
        </w:rPr>
        <w:t>2. Цена продажи, порядок расчетов и передачи имущества.</w:t>
      </w:r>
    </w:p>
    <w:p w14:paraId="733133EB">
      <w:pPr>
        <w:suppressAutoHyphens w:val="0"/>
        <w:spacing w:after="0" w:line="240" w:lineRule="auto"/>
        <w:jc w:val="both"/>
        <w:rPr>
          <w:rFonts w:ascii="Times New Roman" w:hAnsi="Times New Roman"/>
          <w:lang w:eastAsia="ru-RU"/>
        </w:rPr>
      </w:pPr>
    </w:p>
    <w:p w14:paraId="41A1B5A8">
      <w:pPr>
        <w:tabs>
          <w:tab w:val="left" w:pos="540"/>
        </w:tabs>
        <w:suppressAutoHyphens w:val="0"/>
        <w:spacing w:after="0" w:line="240" w:lineRule="auto"/>
        <w:ind w:firstLine="567"/>
        <w:jc w:val="both"/>
        <w:rPr>
          <w:rFonts w:ascii="Times New Roman" w:hAnsi="Times New Roman"/>
          <w:lang w:eastAsia="ru-RU"/>
        </w:rPr>
      </w:pPr>
      <w:r>
        <w:rPr>
          <w:rFonts w:ascii="Times New Roman" w:hAnsi="Times New Roman"/>
          <w:lang w:eastAsia="ru-RU"/>
        </w:rPr>
        <w:t xml:space="preserve">2.1. Цена продажи Имущества в соответствии с протоколом об итогах проведения торгов </w:t>
      </w:r>
      <w:r>
        <w:rPr>
          <w:rFonts w:ascii="Times New Roman" w:hAnsi="Times New Roman"/>
          <w:color w:val="000000" w:themeColor="text1"/>
          <w:lang w:eastAsia="ru-RU"/>
          <w14:textFill>
            <w14:solidFill>
              <w14:schemeClr w14:val="tx1"/>
            </w14:solidFill>
          </w14:textFill>
        </w:rPr>
        <w:t>составляет</w:t>
      </w:r>
      <w:r>
        <w:rPr>
          <w:rFonts w:ascii="Times New Roman" w:hAnsi="Times New Roman"/>
          <w:color w:val="FF0000"/>
          <w:lang w:eastAsia="ru-RU"/>
        </w:rPr>
        <w:t xml:space="preserve"> 1 000 000 (один миллион рублей 00 копеек) рублей</w:t>
      </w:r>
      <w:r>
        <w:rPr>
          <w:rFonts w:ascii="Times New Roman" w:hAnsi="Times New Roman"/>
          <w:lang w:eastAsia="ru-RU"/>
        </w:rPr>
        <w:t xml:space="preserve">, НДС не облагается. </w:t>
      </w:r>
    </w:p>
    <w:p w14:paraId="73C2CE76">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 xml:space="preserve">2.2. Сумма внесенного задатка, установленного в размере </w:t>
      </w:r>
      <w:r>
        <w:rPr>
          <w:rFonts w:ascii="Times New Roman" w:hAnsi="Times New Roman"/>
          <w:color w:val="FF0000"/>
          <w:lang w:eastAsia="ru-RU"/>
        </w:rPr>
        <w:t>50 000 (пятидесяти тысяч рублей 00 копеек)</w:t>
      </w:r>
      <w:r>
        <w:rPr>
          <w:rFonts w:ascii="Times New Roman" w:hAnsi="Times New Roman"/>
          <w:lang w:eastAsia="ru-RU"/>
        </w:rPr>
        <w:t xml:space="preserve"> руб., перечисленная Покупателем на счет Савельевой Виктории Сергеевны, засчитывается Покупателю в счет оплаты цены продажи имущества в соответствии с частью 4 статьи 448 ГК РФ.</w:t>
      </w:r>
    </w:p>
    <w:p w14:paraId="13777C4E">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 xml:space="preserve">2.3. Подлежащая оплате оставшаяся часть цены продажи имущества составляет </w:t>
      </w:r>
      <w:r>
        <w:rPr>
          <w:rFonts w:ascii="Times New Roman" w:hAnsi="Times New Roman"/>
          <w:color w:val="FF0000"/>
          <w:lang w:eastAsia="ru-RU"/>
        </w:rPr>
        <w:t xml:space="preserve">950 000 (девятьсот пятьдесят тысяч рублей 00 копейка) </w:t>
      </w:r>
      <w:r>
        <w:rPr>
          <w:rFonts w:ascii="Times New Roman" w:hAnsi="Times New Roman"/>
          <w:lang w:eastAsia="ru-RU"/>
        </w:rPr>
        <w:t>руб.</w:t>
      </w:r>
    </w:p>
    <w:p w14:paraId="69E8847D">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2.3.1. Оплата по настоящему договору за Покупателя третьим лицом не допускается.</w:t>
      </w:r>
    </w:p>
    <w:p w14:paraId="182FAC8B">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7FB1102">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 xml:space="preserve">2.5. Покупатель перечисляет подлежащую оплате сумму, указанную в пункте 2.3. договора, единовременно в течение 30 (тридцати) календарных дней </w:t>
      </w:r>
      <w:r>
        <w:rPr>
          <w:rFonts w:ascii="Times New Roman" w:hAnsi="Times New Roman"/>
          <w:highlight w:val="yellow"/>
          <w:lang w:eastAsia="ru-RU"/>
        </w:rPr>
        <w:t>с даты нотариального удостоверения</w:t>
      </w:r>
      <w:r>
        <w:rPr>
          <w:rFonts w:ascii="Times New Roman" w:hAnsi="Times New Roman"/>
          <w:lang w:eastAsia="ru-RU"/>
        </w:rPr>
        <w:t xml:space="preserve">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5C862A0">
      <w:pPr>
        <w:suppressAutoHyphens w:val="0"/>
        <w:autoSpaceDE w:val="0"/>
        <w:spacing w:after="0" w:line="240" w:lineRule="auto"/>
        <w:ind w:firstLine="567"/>
        <w:jc w:val="both"/>
        <w:rPr>
          <w:rFonts w:ascii="Times New Roman" w:hAnsi="Times New Roman"/>
          <w:lang w:eastAsia="ru-RU"/>
        </w:rPr>
      </w:pPr>
      <w:r>
        <w:rPr>
          <w:rFonts w:ascii="Times New Roman" w:hAnsi="Times New Roman"/>
          <w:bCs/>
          <w:lang w:eastAsia="ru-RU"/>
        </w:rPr>
        <w:t>2.6. В случае неисполнения или ненадлежащего исполнения Покупателем обязательства по оплате, установленного пунктом 2.3 договора, в срок, предусмотренный пунктом 2.5 договора,</w:t>
      </w:r>
      <w:r>
        <w:rPr>
          <w:rFonts w:ascii="Times New Roman" w:hAnsi="Times New Roman"/>
          <w:b/>
          <w:bCs/>
          <w:lang w:eastAsia="ru-RU"/>
        </w:rPr>
        <w:t xml:space="preserve"> </w:t>
      </w:r>
      <w:r>
        <w:rPr>
          <w:rFonts w:ascii="Times New Roman" w:hAnsi="Times New Roman"/>
          <w:lang w:eastAsia="ru-RU"/>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237C795B">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79485AD1">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67D0FE0F">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57AF6249">
      <w:pPr>
        <w:suppressAutoHyphens w:val="0"/>
        <w:autoSpaceDE w:val="0"/>
        <w:spacing w:after="0" w:line="240" w:lineRule="auto"/>
        <w:ind w:firstLine="567"/>
        <w:jc w:val="both"/>
        <w:rPr>
          <w:rFonts w:ascii="Times New Roman" w:hAnsi="Times New Roman"/>
          <w:lang w:eastAsia="ru-RU"/>
        </w:rPr>
      </w:pPr>
    </w:p>
    <w:p w14:paraId="7E5A6661">
      <w:pPr>
        <w:autoSpaceDE w:val="0"/>
        <w:spacing w:after="0" w:line="240" w:lineRule="auto"/>
        <w:ind w:left="360"/>
        <w:jc w:val="center"/>
        <w:rPr>
          <w:rFonts w:ascii="Times New Roman" w:hAnsi="Times New Roman"/>
          <w:b/>
          <w:lang w:eastAsia="ru-RU"/>
        </w:rPr>
      </w:pPr>
      <w:r>
        <w:rPr>
          <w:rFonts w:ascii="Times New Roman" w:hAnsi="Times New Roman"/>
          <w:b/>
          <w:lang w:eastAsia="ru-RU"/>
        </w:rPr>
        <w:t>3.  Переход прав на Имущество</w:t>
      </w:r>
    </w:p>
    <w:p w14:paraId="6D168B99">
      <w:pPr>
        <w:suppressAutoHyphens w:val="0"/>
        <w:autoSpaceDE w:val="0"/>
        <w:spacing w:after="0" w:line="240" w:lineRule="auto"/>
        <w:ind w:left="720"/>
        <w:rPr>
          <w:rFonts w:ascii="Times New Roman" w:hAnsi="Times New Roman"/>
          <w:b/>
          <w:lang w:eastAsia="ru-RU"/>
        </w:rPr>
      </w:pPr>
    </w:p>
    <w:p w14:paraId="4248FAE1">
      <w:pPr>
        <w:suppressAutoHyphens w:val="0"/>
        <w:autoSpaceDE w:val="0"/>
        <w:spacing w:after="0" w:line="240" w:lineRule="auto"/>
        <w:ind w:firstLine="567"/>
        <w:jc w:val="both"/>
        <w:rPr>
          <w:rFonts w:ascii="Times New Roman" w:hAnsi="Times New Roman"/>
          <w:bCs/>
          <w:highlight w:val="yellow"/>
          <w:lang w:eastAsia="ru-RU"/>
        </w:rPr>
      </w:pPr>
      <w:r>
        <w:rPr>
          <w:rFonts w:ascii="Times New Roman" w:hAnsi="Times New Roman"/>
          <w:bCs/>
          <w:highlight w:val="yellow"/>
          <w:lang w:eastAsia="ru-RU"/>
        </w:rPr>
        <w:t xml:space="preserve">3.1. Покупатель осведомлен о необходимости нотариального удостоверения Договора купли-продажи доли в праве общей долевой собственности. </w:t>
      </w:r>
    </w:p>
    <w:p w14:paraId="0CD7C344">
      <w:pPr>
        <w:suppressAutoHyphens w:val="0"/>
        <w:autoSpaceDE w:val="0"/>
        <w:spacing w:after="0" w:line="240" w:lineRule="auto"/>
        <w:ind w:firstLine="567"/>
        <w:jc w:val="both"/>
        <w:rPr>
          <w:rFonts w:ascii="Times New Roman" w:hAnsi="Times New Roman"/>
          <w:bCs/>
          <w:highlight w:val="yellow"/>
          <w:lang w:eastAsia="ru-RU"/>
        </w:rPr>
      </w:pPr>
      <w:r>
        <w:rPr>
          <w:rFonts w:ascii="Times New Roman" w:hAnsi="Times New Roman"/>
          <w:bCs/>
          <w:highlight w:val="yellow"/>
          <w:lang w:eastAsia="ru-RU"/>
        </w:rPr>
        <w:t>3.2. Нотариальное удостоверение Договора купли-продажи доли в праве общей долевой собственности осуществляется в течение 10 (десяти) рабочих дней после подписания настоящего Предварительного Договора купли-продажи доли в праве общей долевой собственности.</w:t>
      </w:r>
    </w:p>
    <w:p w14:paraId="53C8B516">
      <w:pPr>
        <w:suppressAutoHyphens w:val="0"/>
        <w:autoSpaceDE w:val="0"/>
        <w:spacing w:after="0" w:line="240" w:lineRule="auto"/>
        <w:ind w:firstLine="567"/>
        <w:jc w:val="both"/>
        <w:rPr>
          <w:rFonts w:ascii="Times New Roman" w:hAnsi="Times New Roman"/>
          <w:bCs/>
          <w:lang w:eastAsia="ru-RU"/>
        </w:rPr>
      </w:pPr>
      <w:r>
        <w:rPr>
          <w:rFonts w:ascii="Times New Roman" w:hAnsi="Times New Roman"/>
          <w:bCs/>
          <w:highlight w:val="yellow"/>
          <w:lang w:eastAsia="ru-RU"/>
        </w:rPr>
        <w:t>3.3.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w:t>
      </w:r>
      <w:r>
        <w:rPr>
          <w:rFonts w:ascii="Times New Roman" w:hAnsi="Times New Roman"/>
          <w:bCs/>
          <w:lang w:eastAsia="ru-RU"/>
        </w:rPr>
        <w:t xml:space="preserve"> </w:t>
      </w:r>
    </w:p>
    <w:p w14:paraId="21414289">
      <w:pPr>
        <w:suppressAutoHyphens w:val="0"/>
        <w:autoSpaceDE w:val="0"/>
        <w:spacing w:after="0" w:line="240" w:lineRule="auto"/>
        <w:ind w:firstLine="567"/>
        <w:jc w:val="both"/>
        <w:rPr>
          <w:rFonts w:ascii="Times New Roman" w:hAnsi="Times New Roman"/>
          <w:bCs/>
          <w:lang w:eastAsia="ru-RU"/>
        </w:rPr>
      </w:pPr>
      <w:r>
        <w:rPr>
          <w:rFonts w:ascii="Times New Roman" w:hAnsi="Times New Roman"/>
          <w:bCs/>
          <w:lang w:eastAsia="ru-RU"/>
        </w:rPr>
        <w:t xml:space="preserve">3.4.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w:t>
      </w:r>
    </w:p>
    <w:p w14:paraId="5FA236BE">
      <w:pPr>
        <w:suppressAutoHyphens w:val="0"/>
        <w:autoSpaceDE w:val="0"/>
        <w:spacing w:after="0" w:line="240" w:lineRule="auto"/>
        <w:ind w:firstLine="567"/>
        <w:jc w:val="both"/>
        <w:rPr>
          <w:rFonts w:ascii="Times New Roman" w:hAnsi="Times New Roman"/>
          <w:bCs/>
          <w:lang w:eastAsia="ru-RU"/>
        </w:rPr>
      </w:pPr>
      <w:r>
        <w:rPr>
          <w:rFonts w:ascii="Times New Roman" w:hAnsi="Times New Roman"/>
          <w:bCs/>
          <w:lang w:eastAsia="ru-RU"/>
        </w:rPr>
        <w:t>В момент подписания Продавцом и Покупателем передаточного акта, предусмотренного пунктом 3.3 настоящего договора:</w:t>
      </w:r>
    </w:p>
    <w:p w14:paraId="6D1B00F8">
      <w:pPr>
        <w:suppressAutoHyphens w:val="0"/>
        <w:autoSpaceDE w:val="0"/>
        <w:spacing w:after="0" w:line="240" w:lineRule="auto"/>
        <w:ind w:firstLine="567"/>
        <w:jc w:val="both"/>
        <w:rPr>
          <w:rFonts w:ascii="Times New Roman" w:hAnsi="Times New Roman"/>
          <w:bCs/>
          <w:lang w:eastAsia="ru-RU"/>
        </w:rPr>
      </w:pPr>
      <w:r>
        <w:rPr>
          <w:rFonts w:ascii="Times New Roman" w:hAnsi="Times New Roman"/>
          <w:bCs/>
          <w:lang w:eastAsia="ru-RU"/>
        </w:rPr>
        <w:t>3.4.1. Обязанность по передаче имущества Покупателю считается исполненной;</w:t>
      </w:r>
    </w:p>
    <w:p w14:paraId="40012427">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3.4.2. Риск утраты (включая гибель и хищение) или повреждения имущества переходит от Продавца к Покупателю.</w:t>
      </w:r>
    </w:p>
    <w:p w14:paraId="06D4C1F7">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3.5.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 кадастра и картографии (Росреестре).</w:t>
      </w:r>
    </w:p>
    <w:p w14:paraId="2B21D362">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3.6. Стороны договорились, что государственная регистрация права собственности производится после подписания передаточного акта. Покупатель обязуется своими силами и за свой счет осуществить все действия, необходимые для постановки имущества на регистрационный учет.</w:t>
      </w:r>
    </w:p>
    <w:p w14:paraId="4BB72859">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 xml:space="preserve">3.7. Одновременно с подписанием передаточного акта </w:t>
      </w:r>
      <w:r>
        <w:rPr>
          <w:rFonts w:ascii="Times New Roman" w:hAnsi="Times New Roman"/>
          <w:bCs/>
          <w:lang w:eastAsia="ru-RU"/>
        </w:rPr>
        <w:t>Продавец</w:t>
      </w:r>
      <w:r>
        <w:rPr>
          <w:rFonts w:ascii="Times New Roman" w:hAnsi="Times New Roman"/>
          <w:lang w:eastAsia="ru-RU"/>
        </w:rPr>
        <w:t xml:space="preserve"> обязан передать </w:t>
      </w:r>
      <w:r>
        <w:rPr>
          <w:rFonts w:ascii="Times New Roman" w:hAnsi="Times New Roman"/>
          <w:bCs/>
          <w:lang w:eastAsia="ru-RU"/>
        </w:rPr>
        <w:t>Покупателю, а Покупатель обязан принять</w:t>
      </w:r>
      <w:r>
        <w:rPr>
          <w:rFonts w:ascii="Times New Roman" w:hAnsi="Times New Roman"/>
          <w:lang w:eastAsia="ru-RU"/>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5B075667">
      <w:pPr>
        <w:suppressAutoHyphens w:val="0"/>
        <w:autoSpaceDE w:val="0"/>
        <w:spacing w:after="0" w:line="240" w:lineRule="auto"/>
        <w:ind w:firstLine="567"/>
        <w:jc w:val="both"/>
        <w:rPr>
          <w:rFonts w:ascii="Times New Roman" w:hAnsi="Times New Roman"/>
          <w:lang w:eastAsia="ru-RU"/>
        </w:rPr>
      </w:pPr>
    </w:p>
    <w:p w14:paraId="438A9FE9">
      <w:pPr>
        <w:suppressAutoHyphens w:val="0"/>
        <w:autoSpaceDE w:val="0"/>
        <w:spacing w:after="0" w:line="240" w:lineRule="auto"/>
        <w:ind w:hanging="13"/>
        <w:jc w:val="center"/>
        <w:rPr>
          <w:rFonts w:ascii="Times New Roman" w:hAnsi="Times New Roman"/>
          <w:b/>
          <w:lang w:eastAsia="ru-RU"/>
        </w:rPr>
      </w:pPr>
      <w:r>
        <w:rPr>
          <w:rFonts w:ascii="Times New Roman" w:hAnsi="Times New Roman"/>
          <w:b/>
          <w:lang w:eastAsia="ru-RU"/>
        </w:rPr>
        <w:t>4. Ответственность сторон</w:t>
      </w:r>
    </w:p>
    <w:p w14:paraId="3825761A">
      <w:pPr>
        <w:suppressAutoHyphens w:val="0"/>
        <w:autoSpaceDE w:val="0"/>
        <w:spacing w:after="0" w:line="240" w:lineRule="auto"/>
        <w:ind w:hanging="13"/>
        <w:jc w:val="center"/>
        <w:rPr>
          <w:rFonts w:ascii="Times New Roman" w:hAnsi="Times New Roman"/>
          <w:b/>
          <w:lang w:eastAsia="ru-RU"/>
        </w:rPr>
      </w:pPr>
    </w:p>
    <w:p w14:paraId="10308FBA">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4.1.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w:t>
      </w:r>
    </w:p>
    <w:p w14:paraId="3206829A">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4.2. В случае уклонения Покупателя от оплаты в сроки, предусмотренные пунктом 2.5 настоящего договора, денежные средства, уплаченные им в качестве задатка, остаются у Продавца, Покупателю не возвращаются и настоящий договор признается расторгнутым.</w:t>
      </w:r>
    </w:p>
    <w:p w14:paraId="3ECD11FB">
      <w:pPr>
        <w:suppressAutoHyphens w:val="0"/>
        <w:autoSpaceDE w:val="0"/>
        <w:spacing w:after="0" w:line="240" w:lineRule="auto"/>
        <w:ind w:hanging="13"/>
        <w:jc w:val="center"/>
        <w:rPr>
          <w:rFonts w:ascii="Times New Roman" w:hAnsi="Times New Roman"/>
          <w:b/>
          <w:lang w:eastAsia="ru-RU"/>
        </w:rPr>
      </w:pPr>
    </w:p>
    <w:p w14:paraId="5C37A153">
      <w:pPr>
        <w:numPr>
          <w:ilvl w:val="0"/>
          <w:numId w:val="3"/>
        </w:numPr>
        <w:suppressAutoHyphens w:val="0"/>
        <w:autoSpaceDE w:val="0"/>
        <w:spacing w:after="0" w:line="240" w:lineRule="auto"/>
        <w:contextualSpacing/>
        <w:jc w:val="center"/>
        <w:rPr>
          <w:rFonts w:ascii="Times New Roman" w:hAnsi="Times New Roman"/>
          <w:b/>
          <w:lang w:eastAsia="ru-RU"/>
        </w:rPr>
      </w:pPr>
      <w:r>
        <w:rPr>
          <w:rFonts w:ascii="Times New Roman" w:hAnsi="Times New Roman"/>
          <w:b/>
          <w:lang w:eastAsia="ru-RU"/>
        </w:rPr>
        <w:t>Прочие условия</w:t>
      </w:r>
    </w:p>
    <w:p w14:paraId="5D34D081">
      <w:pPr>
        <w:suppressAutoHyphens w:val="0"/>
        <w:autoSpaceDE w:val="0"/>
        <w:spacing w:after="0" w:line="240" w:lineRule="auto"/>
        <w:ind w:left="927"/>
        <w:rPr>
          <w:rFonts w:ascii="Times New Roman" w:hAnsi="Times New Roman"/>
          <w:b/>
          <w:lang w:eastAsia="ru-RU"/>
        </w:rPr>
      </w:pPr>
    </w:p>
    <w:p w14:paraId="4E2FDF85">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1D9ED86C">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 xml:space="preserve">5.2. Надлежащим признается направление документов стороне-адресату любым из следующих способов: </w:t>
      </w:r>
    </w:p>
    <w:p w14:paraId="71E1584F">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 xml:space="preserve">5.2.1. вручением корреспонденции посыльным (курьером) под роспись; </w:t>
      </w:r>
    </w:p>
    <w:p w14:paraId="6D05CDED">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 xml:space="preserve">5.2.2. ценным письмом с описью вложения и уведомлением о вручении; </w:t>
      </w:r>
    </w:p>
    <w:p w14:paraId="12B9E76D">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 xml:space="preserve">5.2.3. телеграфным сообщением. </w:t>
      </w:r>
    </w:p>
    <w:p w14:paraId="00EFEA7D">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0F035F22">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0F6544CB">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5.5. В случаях, предусмотренных пунктом 5.3 настоящего договора, датой получения стороной-адресатом корреспонденции признаются:</w:t>
      </w:r>
    </w:p>
    <w:p w14:paraId="3B0CC985">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или</w:t>
      </w:r>
    </w:p>
    <w:p w14:paraId="749BC420">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5.5.2. день составления оператором связи служебного извещения или иного аналогичного документа о невручении телеграммы.</w:t>
      </w:r>
    </w:p>
    <w:p w14:paraId="16BFE8D4">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судебном порядке в соответствии с правилами подсудности, установленными статьями 28 АПК РФ, 22 ГПК РФ.</w:t>
      </w:r>
    </w:p>
    <w:p w14:paraId="5B53C164">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72EF1E5">
      <w:pPr>
        <w:suppressAutoHyphens w:val="0"/>
        <w:autoSpaceDE w:val="0"/>
        <w:spacing w:after="0" w:line="240" w:lineRule="auto"/>
        <w:ind w:firstLine="567"/>
        <w:jc w:val="both"/>
        <w:rPr>
          <w:rFonts w:ascii="Times New Roman" w:hAnsi="Times New Roman"/>
          <w:lang w:eastAsia="ru-RU"/>
        </w:rPr>
      </w:pPr>
      <w:r>
        <w:rPr>
          <w:rFonts w:ascii="Times New Roman" w:hAnsi="Times New Roman"/>
          <w:lang w:eastAsia="ru-RU"/>
        </w:rPr>
        <w:t>5.8. Настоящий договор составлен в трех экземплярах: по одному для каждой из сторон и один оригинал договора для регистрирующего органа, имеющих для них равную юридическую силу.</w:t>
      </w:r>
    </w:p>
    <w:p w14:paraId="1F02AC7E">
      <w:pPr>
        <w:numPr>
          <w:ilvl w:val="2"/>
          <w:numId w:val="1"/>
        </w:numPr>
        <w:tabs>
          <w:tab w:val="left" w:pos="0"/>
        </w:tabs>
        <w:suppressAutoHyphens w:val="0"/>
        <w:spacing w:after="0" w:line="240" w:lineRule="auto"/>
        <w:ind w:left="0" w:hanging="13"/>
        <w:jc w:val="center"/>
        <w:outlineLvl w:val="2"/>
        <w:rPr>
          <w:rFonts w:ascii="Times New Roman" w:hAnsi="Times New Roman"/>
          <w:b/>
          <w:lang w:eastAsia="ru-RU"/>
        </w:rPr>
      </w:pPr>
    </w:p>
    <w:p w14:paraId="44A0307F">
      <w:pPr>
        <w:numPr>
          <w:ilvl w:val="2"/>
          <w:numId w:val="1"/>
        </w:numPr>
        <w:tabs>
          <w:tab w:val="left" w:pos="0"/>
        </w:tabs>
        <w:suppressAutoHyphens w:val="0"/>
        <w:spacing w:after="0" w:line="240" w:lineRule="auto"/>
        <w:ind w:left="0" w:hanging="13"/>
        <w:jc w:val="center"/>
        <w:outlineLvl w:val="2"/>
        <w:rPr>
          <w:rFonts w:ascii="Times New Roman" w:hAnsi="Times New Roman"/>
          <w:b/>
          <w:lang w:eastAsia="ru-RU"/>
        </w:rPr>
      </w:pPr>
      <w:r>
        <w:rPr>
          <w:rFonts w:ascii="Times New Roman" w:hAnsi="Times New Roman"/>
          <w:b/>
          <w:lang w:eastAsia="ru-RU"/>
        </w:rPr>
        <w:t>6. Адреса, реквизиты и подписи сторон</w:t>
      </w:r>
    </w:p>
    <w:p w14:paraId="50713FFE">
      <w:pPr>
        <w:suppressAutoHyphens w:val="0"/>
        <w:spacing w:after="0" w:line="240" w:lineRule="auto"/>
        <w:jc w:val="both"/>
        <w:rPr>
          <w:rFonts w:ascii="Times New Roman" w:hAnsi="Times New Roman"/>
          <w:lang w:eastAsia="ru-RU"/>
        </w:rPr>
      </w:pPr>
    </w:p>
    <w:tbl>
      <w:tblPr>
        <w:tblStyle w:val="3"/>
        <w:tblW w:w="0" w:type="auto"/>
        <w:tblInd w:w="108" w:type="dxa"/>
        <w:tblLayout w:type="fixed"/>
        <w:tblCellMar>
          <w:top w:w="0" w:type="dxa"/>
          <w:left w:w="108" w:type="dxa"/>
          <w:bottom w:w="0" w:type="dxa"/>
          <w:right w:w="108" w:type="dxa"/>
        </w:tblCellMar>
      </w:tblPr>
      <w:tblGrid>
        <w:gridCol w:w="4774"/>
        <w:gridCol w:w="4597"/>
      </w:tblGrid>
      <w:tr w14:paraId="21F1F4D2">
        <w:tblPrEx>
          <w:tblCellMar>
            <w:top w:w="0" w:type="dxa"/>
            <w:left w:w="108" w:type="dxa"/>
            <w:bottom w:w="0" w:type="dxa"/>
            <w:right w:w="108" w:type="dxa"/>
          </w:tblCellMar>
        </w:tblPrEx>
        <w:trPr>
          <w:trHeight w:val="56" w:hRule="atLeast"/>
        </w:trPr>
        <w:tc>
          <w:tcPr>
            <w:tcW w:w="4774" w:type="dxa"/>
            <w:tcBorders>
              <w:top w:val="single" w:color="000000" w:sz="4" w:space="0"/>
              <w:left w:val="single" w:color="000000" w:sz="4" w:space="0"/>
              <w:bottom w:val="single" w:color="000000" w:sz="4" w:space="0"/>
              <w:right w:val="nil"/>
            </w:tcBorders>
          </w:tcPr>
          <w:p w14:paraId="23B0D488">
            <w:pPr>
              <w:suppressAutoHyphens w:val="0"/>
              <w:spacing w:after="0" w:line="240" w:lineRule="auto"/>
              <w:jc w:val="both"/>
              <w:rPr>
                <w:rFonts w:ascii="Times New Roman" w:hAnsi="Times New Roman" w:eastAsia="Calibri"/>
                <w:b/>
                <w:lang w:eastAsia="en-US"/>
              </w:rPr>
            </w:pPr>
            <w:r>
              <w:rPr>
                <w:rFonts w:ascii="Times New Roman" w:hAnsi="Times New Roman" w:eastAsia="Calibri"/>
                <w:b/>
                <w:lang w:eastAsia="en-US"/>
              </w:rPr>
              <w:t>Продавец:</w:t>
            </w:r>
          </w:p>
        </w:tc>
        <w:tc>
          <w:tcPr>
            <w:tcW w:w="4597" w:type="dxa"/>
            <w:tcBorders>
              <w:top w:val="single" w:color="000000" w:sz="4" w:space="0"/>
              <w:left w:val="single" w:color="000000" w:sz="4" w:space="0"/>
              <w:bottom w:val="single" w:color="000000" w:sz="4" w:space="0"/>
              <w:right w:val="single" w:color="000000" w:sz="4" w:space="0"/>
            </w:tcBorders>
          </w:tcPr>
          <w:p w14:paraId="51D63667">
            <w:pPr>
              <w:suppressAutoHyphens w:val="0"/>
              <w:snapToGrid w:val="0"/>
              <w:spacing w:after="0" w:line="240" w:lineRule="auto"/>
              <w:ind w:hanging="13"/>
              <w:jc w:val="both"/>
              <w:rPr>
                <w:rFonts w:ascii="Times New Roman" w:hAnsi="Times New Roman"/>
                <w:b/>
                <w:lang w:eastAsia="ru-RU"/>
              </w:rPr>
            </w:pPr>
            <w:r>
              <w:rPr>
                <w:rFonts w:ascii="Times New Roman" w:hAnsi="Times New Roman"/>
                <w:b/>
                <w:lang w:eastAsia="ru-RU"/>
              </w:rPr>
              <w:t>Покупатель:</w:t>
            </w:r>
          </w:p>
        </w:tc>
      </w:tr>
      <w:tr w14:paraId="70170023">
        <w:tblPrEx>
          <w:tblCellMar>
            <w:top w:w="0" w:type="dxa"/>
            <w:left w:w="108" w:type="dxa"/>
            <w:bottom w:w="0" w:type="dxa"/>
            <w:right w:w="108" w:type="dxa"/>
          </w:tblCellMar>
        </w:tblPrEx>
        <w:trPr>
          <w:trHeight w:val="2692" w:hRule="atLeast"/>
        </w:trPr>
        <w:tc>
          <w:tcPr>
            <w:tcW w:w="4774" w:type="dxa"/>
            <w:tcBorders>
              <w:top w:val="single" w:color="000000" w:sz="4" w:space="0"/>
              <w:left w:val="single" w:color="000000" w:sz="4" w:space="0"/>
              <w:bottom w:val="single" w:color="000000" w:sz="4" w:space="0"/>
              <w:right w:val="nil"/>
            </w:tcBorders>
          </w:tcPr>
          <w:p w14:paraId="0D55D24C">
            <w:pPr>
              <w:suppressAutoHyphens w:val="0"/>
              <w:spacing w:after="0" w:line="240" w:lineRule="auto"/>
              <w:rPr>
                <w:rFonts w:ascii="Times New Roman" w:hAnsi="Times New Roman"/>
              </w:rPr>
            </w:pPr>
            <w:r>
              <w:rPr>
                <w:rFonts w:ascii="Times New Roman" w:hAnsi="Times New Roman" w:eastAsia="Calibri"/>
                <w:lang w:eastAsia="en-US"/>
              </w:rPr>
              <w:t xml:space="preserve">Финансовый управляющий </w:t>
            </w:r>
            <w:r>
              <w:rPr>
                <w:rFonts w:ascii="Times New Roman" w:hAnsi="Times New Roman"/>
              </w:rPr>
              <w:t xml:space="preserve">имуществом Савельевой Виктории Сергеевны </w:t>
            </w:r>
          </w:p>
          <w:p w14:paraId="04ED0498">
            <w:pPr>
              <w:suppressAutoHyphens w:val="0"/>
              <w:spacing w:after="0" w:line="240" w:lineRule="auto"/>
              <w:rPr>
                <w:rFonts w:ascii="Times New Roman" w:hAnsi="Times New Roman"/>
              </w:rPr>
            </w:pPr>
            <w:r>
              <w:rPr>
                <w:rFonts w:ascii="Times New Roman" w:hAnsi="Times New Roman"/>
              </w:rPr>
              <w:t xml:space="preserve">Аксеник Дарья Сергеевна </w:t>
            </w:r>
          </w:p>
          <w:p w14:paraId="13D5EF5F">
            <w:pPr>
              <w:suppressAutoHyphens w:val="0"/>
              <w:spacing w:after="0" w:line="240" w:lineRule="auto"/>
              <w:rPr>
                <w:rFonts w:ascii="Times New Roman" w:hAnsi="Times New Roman"/>
              </w:rPr>
            </w:pPr>
            <w:r>
              <w:rPr>
                <w:rFonts w:ascii="Times New Roman" w:hAnsi="Times New Roman"/>
              </w:rPr>
              <w:t>(ИНН 781699013673, СНИЛС 149-394-602 01)</w:t>
            </w:r>
          </w:p>
          <w:p w14:paraId="114CD32D">
            <w:pPr>
              <w:suppressAutoHyphens w:val="0"/>
              <w:spacing w:after="0" w:line="240" w:lineRule="auto"/>
              <w:jc w:val="both"/>
              <w:rPr>
                <w:rFonts w:ascii="Times New Roman" w:hAnsi="Times New Roman"/>
              </w:rPr>
            </w:pPr>
            <w:r>
              <w:rPr>
                <w:rFonts w:ascii="Times New Roman" w:hAnsi="Times New Roman"/>
              </w:rPr>
              <w:t xml:space="preserve">191036, г. Санкт-Петербург, а/я 62, </w:t>
            </w:r>
          </w:p>
          <w:p w14:paraId="4B4E19A6">
            <w:pPr>
              <w:suppressAutoHyphens w:val="0"/>
              <w:spacing w:after="0" w:line="240" w:lineRule="auto"/>
              <w:jc w:val="both"/>
              <w:rPr>
                <w:rStyle w:val="4"/>
                <w:rFonts w:ascii="Times New Roman" w:hAnsi="Times New Roman"/>
              </w:rPr>
            </w:pPr>
            <w:r>
              <w:fldChar w:fldCharType="begin"/>
            </w:r>
            <w:r>
              <w:instrText xml:space="preserve"> HYPERLINK "mailto:aksenik@yandex.ru" </w:instrText>
            </w:r>
            <w:r>
              <w:fldChar w:fldCharType="separate"/>
            </w:r>
            <w:r>
              <w:rPr>
                <w:rStyle w:val="4"/>
                <w:rFonts w:ascii="Times New Roman" w:hAnsi="Times New Roman"/>
              </w:rPr>
              <w:t>aksenik@yandex.ru</w:t>
            </w:r>
            <w:r>
              <w:rPr>
                <w:rStyle w:val="4"/>
                <w:rFonts w:ascii="Times New Roman" w:hAnsi="Times New Roman"/>
              </w:rPr>
              <w:fldChar w:fldCharType="end"/>
            </w:r>
          </w:p>
          <w:p w14:paraId="509E714A">
            <w:pPr>
              <w:suppressAutoHyphens w:val="0"/>
              <w:spacing w:after="0" w:line="240" w:lineRule="auto"/>
              <w:jc w:val="both"/>
              <w:rPr>
                <w:rStyle w:val="4"/>
                <w:rFonts w:ascii="Times New Roman" w:hAnsi="Times New Roman"/>
                <w:color w:val="auto"/>
                <w:u w:val="none"/>
              </w:rPr>
            </w:pPr>
            <w:r>
              <w:rPr>
                <w:rStyle w:val="4"/>
                <w:rFonts w:ascii="Times New Roman" w:hAnsi="Times New Roman"/>
                <w:color w:val="auto"/>
                <w:u w:val="none"/>
              </w:rPr>
              <w:t xml:space="preserve">Банковские реквизиты: </w:t>
            </w:r>
          </w:p>
          <w:p w14:paraId="2EB00460">
            <w:pPr>
              <w:ind w:firstLine="708"/>
              <w:jc w:val="both"/>
              <w:rPr>
                <w:rFonts w:hint="default" w:ascii="Times New Roman" w:hAnsi="Times New Roman"/>
                <w:b w:val="0"/>
                <w:bCs/>
                <w:sz w:val="22"/>
                <w:szCs w:val="22"/>
              </w:rPr>
            </w:pPr>
            <w:r>
              <w:rPr>
                <w:rFonts w:hint="default" w:ascii="Times New Roman" w:hAnsi="Times New Roman"/>
                <w:b w:val="0"/>
                <w:bCs/>
                <w:sz w:val="22"/>
                <w:szCs w:val="22"/>
              </w:rPr>
              <w:t>Севастьянов Василий Константинович ИНН: 780444032928</w:t>
            </w:r>
          </w:p>
          <w:p w14:paraId="2F022449">
            <w:pPr>
              <w:ind w:firstLine="708"/>
              <w:jc w:val="both"/>
              <w:rPr>
                <w:rFonts w:hint="default" w:ascii="Times New Roman" w:hAnsi="Times New Roman"/>
                <w:b w:val="0"/>
                <w:bCs/>
                <w:sz w:val="22"/>
                <w:szCs w:val="22"/>
              </w:rPr>
            </w:pPr>
            <w:r>
              <w:rPr>
                <w:rFonts w:hint="default" w:ascii="Times New Roman" w:hAnsi="Times New Roman"/>
                <w:b w:val="0"/>
                <w:bCs/>
                <w:sz w:val="22"/>
                <w:szCs w:val="22"/>
              </w:rPr>
              <w:t>ПАО «Сбербанк России» БИК 044030653  к/с 30101810500000000653  р/с 40817810055170863763</w:t>
            </w:r>
          </w:p>
          <w:p w14:paraId="33880728">
            <w:pPr>
              <w:suppressAutoHyphens w:val="0"/>
              <w:spacing w:after="0" w:line="240" w:lineRule="auto"/>
              <w:jc w:val="both"/>
              <w:rPr>
                <w:rFonts w:ascii="Times New Roman" w:hAnsi="Times New Roman" w:eastAsia="Calibri"/>
                <w:lang w:eastAsia="en-US"/>
              </w:rPr>
            </w:pPr>
            <w:bookmarkStart w:id="3" w:name="_GoBack"/>
            <w:bookmarkEnd w:id="3"/>
          </w:p>
          <w:p w14:paraId="504901F3">
            <w:pPr>
              <w:suppressAutoHyphens w:val="0"/>
              <w:spacing w:after="0" w:line="240" w:lineRule="auto"/>
              <w:jc w:val="both"/>
              <w:rPr>
                <w:rFonts w:ascii="Times New Roman" w:hAnsi="Times New Roman" w:eastAsia="Calibri"/>
                <w:lang w:eastAsia="en-US"/>
              </w:rPr>
            </w:pPr>
          </w:p>
          <w:p w14:paraId="1BDCB919">
            <w:pPr>
              <w:suppressAutoHyphens w:val="0"/>
              <w:spacing w:after="0" w:line="240" w:lineRule="auto"/>
              <w:jc w:val="both"/>
              <w:rPr>
                <w:rFonts w:ascii="Times New Roman" w:hAnsi="Times New Roman" w:eastAsia="Calibri"/>
                <w:lang w:eastAsia="en-US"/>
              </w:rPr>
            </w:pPr>
            <w:r>
              <w:rPr>
                <w:rFonts w:ascii="Times New Roman" w:hAnsi="Times New Roman" w:eastAsia="Calibri"/>
                <w:lang w:eastAsia="en-US"/>
              </w:rPr>
              <w:t>Финансовый</w:t>
            </w:r>
          </w:p>
          <w:p w14:paraId="7DB5A42F">
            <w:pPr>
              <w:suppressAutoHyphens w:val="0"/>
              <w:spacing w:after="0" w:line="240" w:lineRule="auto"/>
              <w:jc w:val="both"/>
              <w:rPr>
                <w:rFonts w:ascii="Times New Roman" w:hAnsi="Times New Roman" w:eastAsia="Calibri"/>
                <w:lang w:eastAsia="en-US"/>
              </w:rPr>
            </w:pPr>
            <w:r>
              <w:rPr>
                <w:rFonts w:ascii="Times New Roman" w:hAnsi="Times New Roman" w:eastAsia="Calibri"/>
                <w:lang w:eastAsia="en-US"/>
              </w:rPr>
              <w:t>управляющий                             /Д.С. Аксеник/</w:t>
            </w:r>
          </w:p>
          <w:p w14:paraId="3C689071">
            <w:pPr>
              <w:suppressAutoHyphens w:val="0"/>
              <w:spacing w:after="0" w:line="240" w:lineRule="auto"/>
              <w:jc w:val="both"/>
              <w:rPr>
                <w:rFonts w:ascii="Times New Roman" w:hAnsi="Times New Roman"/>
                <w:lang w:eastAsia="ru-RU"/>
              </w:rPr>
            </w:pPr>
          </w:p>
        </w:tc>
        <w:tc>
          <w:tcPr>
            <w:tcW w:w="4597" w:type="dxa"/>
            <w:tcBorders>
              <w:top w:val="single" w:color="000000" w:sz="4" w:space="0"/>
              <w:left w:val="single" w:color="000000" w:sz="4" w:space="0"/>
              <w:bottom w:val="single" w:color="000000" w:sz="4" w:space="0"/>
              <w:right w:val="single" w:color="000000" w:sz="4" w:space="0"/>
            </w:tcBorders>
          </w:tcPr>
          <w:p w14:paraId="2AB7DCA9">
            <w:pPr>
              <w:suppressAutoHyphens w:val="0"/>
              <w:spacing w:after="0" w:line="240" w:lineRule="auto"/>
              <w:ind w:hanging="13"/>
              <w:jc w:val="both"/>
              <w:rPr>
                <w:rFonts w:ascii="Times New Roman" w:hAnsi="Times New Roman"/>
                <w:lang w:eastAsia="ru-RU"/>
              </w:rPr>
            </w:pPr>
          </w:p>
          <w:p w14:paraId="0D0E141F">
            <w:pPr>
              <w:suppressAutoHyphens w:val="0"/>
              <w:spacing w:after="0" w:line="240" w:lineRule="auto"/>
              <w:ind w:hanging="13"/>
              <w:jc w:val="both"/>
              <w:rPr>
                <w:rFonts w:ascii="Times New Roman" w:hAnsi="Times New Roman"/>
                <w:lang w:eastAsia="ru-RU"/>
              </w:rPr>
            </w:pPr>
          </w:p>
          <w:p w14:paraId="2615A1BF">
            <w:pPr>
              <w:suppressAutoHyphens w:val="0"/>
              <w:spacing w:after="0" w:line="240" w:lineRule="auto"/>
              <w:ind w:hanging="13"/>
              <w:jc w:val="both"/>
              <w:rPr>
                <w:rFonts w:ascii="Times New Roman" w:hAnsi="Times New Roman"/>
                <w:lang w:eastAsia="ru-RU"/>
              </w:rPr>
            </w:pPr>
          </w:p>
          <w:p w14:paraId="080C7B09">
            <w:pPr>
              <w:suppressAutoHyphens w:val="0"/>
              <w:spacing w:after="0" w:line="240" w:lineRule="auto"/>
              <w:ind w:hanging="13"/>
              <w:jc w:val="both"/>
              <w:rPr>
                <w:rFonts w:ascii="Times New Roman" w:hAnsi="Times New Roman"/>
                <w:lang w:eastAsia="ru-RU"/>
              </w:rPr>
            </w:pPr>
          </w:p>
          <w:p w14:paraId="222D375E">
            <w:pPr>
              <w:suppressAutoHyphens w:val="0"/>
              <w:spacing w:after="0" w:line="240" w:lineRule="auto"/>
              <w:jc w:val="both"/>
              <w:rPr>
                <w:rFonts w:ascii="Times New Roman" w:hAnsi="Times New Roman"/>
                <w:lang w:eastAsia="ru-RU"/>
              </w:rPr>
            </w:pPr>
            <w:r>
              <w:rPr>
                <w:rFonts w:ascii="Times New Roman" w:hAnsi="Times New Roman"/>
                <w:lang w:eastAsia="ru-RU"/>
              </w:rPr>
              <w:t xml:space="preserve"> _____________ /</w:t>
            </w:r>
            <w:r>
              <w:t xml:space="preserve"> </w:t>
            </w:r>
            <w:r>
              <w:rPr>
                <w:rFonts w:ascii="Times New Roman" w:hAnsi="Times New Roman"/>
                <w:lang w:eastAsia="ru-RU"/>
              </w:rPr>
              <w:t>/</w:t>
            </w:r>
          </w:p>
          <w:p w14:paraId="1A2C57D6">
            <w:pPr>
              <w:suppressAutoHyphens w:val="0"/>
              <w:spacing w:after="0" w:line="240" w:lineRule="auto"/>
              <w:ind w:hanging="13"/>
              <w:jc w:val="both"/>
              <w:rPr>
                <w:rFonts w:ascii="Times New Roman" w:hAnsi="Times New Roman"/>
                <w:lang w:eastAsia="ru-RU"/>
              </w:rPr>
            </w:pPr>
          </w:p>
          <w:p w14:paraId="55F1E45A">
            <w:pPr>
              <w:suppressAutoHyphens w:val="0"/>
              <w:spacing w:after="0" w:line="240" w:lineRule="auto"/>
              <w:ind w:hanging="13"/>
              <w:jc w:val="both"/>
              <w:rPr>
                <w:rFonts w:ascii="Times New Roman" w:hAnsi="Times New Roman"/>
                <w:lang w:eastAsia="ru-RU"/>
              </w:rPr>
            </w:pPr>
          </w:p>
          <w:p w14:paraId="0CF52A8F">
            <w:pPr>
              <w:suppressAutoHyphens w:val="0"/>
              <w:spacing w:after="0" w:line="240" w:lineRule="auto"/>
              <w:ind w:hanging="13"/>
              <w:jc w:val="both"/>
              <w:rPr>
                <w:rFonts w:ascii="Times New Roman" w:hAnsi="Times New Roman"/>
                <w:lang w:eastAsia="ru-RU"/>
              </w:rPr>
            </w:pPr>
          </w:p>
          <w:p w14:paraId="127A1226">
            <w:pPr>
              <w:suppressAutoHyphens w:val="0"/>
              <w:spacing w:after="0" w:line="240" w:lineRule="auto"/>
              <w:ind w:hanging="13"/>
              <w:jc w:val="both"/>
              <w:rPr>
                <w:rFonts w:ascii="Times New Roman" w:hAnsi="Times New Roman"/>
                <w:lang w:eastAsia="ru-RU"/>
              </w:rPr>
            </w:pPr>
          </w:p>
        </w:tc>
      </w:tr>
    </w:tbl>
    <w:p w14:paraId="3D6D31BB">
      <w:pPr>
        <w:suppressAutoHyphens w:val="0"/>
        <w:adjustRightInd w:val="0"/>
        <w:spacing w:after="0" w:line="240" w:lineRule="auto"/>
        <w:ind w:left="6372" w:firstLine="708"/>
        <w:rPr>
          <w:rFonts w:ascii="Times New Roman" w:hAnsi="Times New Roman"/>
          <w:lang w:eastAsia="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1416"/>
        </w:tabs>
        <w:ind w:left="1848" w:hanging="432"/>
      </w:pPr>
    </w:lvl>
    <w:lvl w:ilvl="1" w:tentative="0">
      <w:start w:val="1"/>
      <w:numFmt w:val="none"/>
      <w:suff w:val="nothing"/>
      <w:lvlText w:val=""/>
      <w:lvlJc w:val="left"/>
      <w:pPr>
        <w:tabs>
          <w:tab w:val="left" w:pos="1416"/>
        </w:tabs>
        <w:ind w:left="1992" w:hanging="576"/>
      </w:pPr>
    </w:lvl>
    <w:lvl w:ilvl="2" w:tentative="0">
      <w:start w:val="1"/>
      <w:numFmt w:val="none"/>
      <w:suff w:val="nothing"/>
      <w:lvlText w:val=""/>
      <w:lvlJc w:val="left"/>
      <w:pPr>
        <w:tabs>
          <w:tab w:val="left" w:pos="1416"/>
        </w:tabs>
        <w:ind w:left="2136" w:hanging="720"/>
      </w:pPr>
    </w:lvl>
    <w:lvl w:ilvl="3" w:tentative="0">
      <w:start w:val="1"/>
      <w:numFmt w:val="none"/>
      <w:suff w:val="nothing"/>
      <w:lvlText w:val=""/>
      <w:lvlJc w:val="left"/>
      <w:pPr>
        <w:tabs>
          <w:tab w:val="left" w:pos="1416"/>
        </w:tabs>
        <w:ind w:left="2280" w:hanging="864"/>
      </w:pPr>
    </w:lvl>
    <w:lvl w:ilvl="4" w:tentative="0">
      <w:start w:val="1"/>
      <w:numFmt w:val="none"/>
      <w:suff w:val="nothing"/>
      <w:lvlText w:val=""/>
      <w:lvlJc w:val="left"/>
      <w:pPr>
        <w:tabs>
          <w:tab w:val="left" w:pos="1416"/>
        </w:tabs>
        <w:ind w:left="2424" w:hanging="1008"/>
      </w:pPr>
    </w:lvl>
    <w:lvl w:ilvl="5" w:tentative="0">
      <w:start w:val="1"/>
      <w:numFmt w:val="none"/>
      <w:suff w:val="nothing"/>
      <w:lvlText w:val=""/>
      <w:lvlJc w:val="left"/>
      <w:pPr>
        <w:tabs>
          <w:tab w:val="left" w:pos="1416"/>
        </w:tabs>
        <w:ind w:left="2568" w:hanging="1152"/>
      </w:pPr>
    </w:lvl>
    <w:lvl w:ilvl="6" w:tentative="0">
      <w:start w:val="1"/>
      <w:numFmt w:val="none"/>
      <w:suff w:val="nothing"/>
      <w:lvlText w:val=""/>
      <w:lvlJc w:val="left"/>
      <w:pPr>
        <w:tabs>
          <w:tab w:val="left" w:pos="1416"/>
        </w:tabs>
        <w:ind w:left="2712" w:hanging="1296"/>
      </w:pPr>
    </w:lvl>
    <w:lvl w:ilvl="7" w:tentative="0">
      <w:start w:val="1"/>
      <w:numFmt w:val="none"/>
      <w:suff w:val="nothing"/>
      <w:lvlText w:val=""/>
      <w:lvlJc w:val="left"/>
      <w:pPr>
        <w:tabs>
          <w:tab w:val="left" w:pos="1416"/>
        </w:tabs>
        <w:ind w:left="2856" w:hanging="1440"/>
      </w:pPr>
    </w:lvl>
    <w:lvl w:ilvl="8" w:tentative="0">
      <w:start w:val="1"/>
      <w:numFmt w:val="none"/>
      <w:suff w:val="nothing"/>
      <w:lvlText w:val=""/>
      <w:lvlJc w:val="left"/>
      <w:pPr>
        <w:tabs>
          <w:tab w:val="left" w:pos="1416"/>
        </w:tabs>
        <w:ind w:left="3000" w:hanging="1584"/>
      </w:pPr>
    </w:lvl>
  </w:abstractNum>
  <w:abstractNum w:abstractNumId="1">
    <w:nsid w:val="2C9512D6"/>
    <w:multiLevelType w:val="multilevel"/>
    <w:tmpl w:val="2C9512D6"/>
    <w:lvl w:ilvl="0" w:tentative="0">
      <w:start w:val="1"/>
      <w:numFmt w:val="decimal"/>
      <w:lvlText w:val="%1."/>
      <w:lvlJc w:val="left"/>
      <w:pPr>
        <w:ind w:left="405" w:hanging="405"/>
      </w:pPr>
    </w:lvl>
    <w:lvl w:ilvl="1" w:tentative="0">
      <w:start w:val="1"/>
      <w:numFmt w:val="decimal"/>
      <w:lvlText w:val="%1.%2."/>
      <w:lvlJc w:val="left"/>
      <w:pPr>
        <w:ind w:left="972" w:hanging="405"/>
      </w:pPr>
    </w:lvl>
    <w:lvl w:ilvl="2" w:tentative="0">
      <w:start w:val="1"/>
      <w:numFmt w:val="decimal"/>
      <w:lvlText w:val="%1.%2.%3."/>
      <w:lvlJc w:val="left"/>
      <w:pPr>
        <w:ind w:left="1854" w:hanging="720"/>
      </w:pPr>
    </w:lvl>
    <w:lvl w:ilvl="3" w:tentative="0">
      <w:start w:val="1"/>
      <w:numFmt w:val="decimal"/>
      <w:lvlText w:val="%1.%2.%3.%4."/>
      <w:lvlJc w:val="left"/>
      <w:pPr>
        <w:ind w:left="2421" w:hanging="720"/>
      </w:pPr>
    </w:lvl>
    <w:lvl w:ilvl="4" w:tentative="0">
      <w:start w:val="1"/>
      <w:numFmt w:val="decimal"/>
      <w:lvlText w:val="%1.%2.%3.%4.%5."/>
      <w:lvlJc w:val="left"/>
      <w:pPr>
        <w:ind w:left="3348" w:hanging="1080"/>
      </w:pPr>
    </w:lvl>
    <w:lvl w:ilvl="5" w:tentative="0">
      <w:start w:val="1"/>
      <w:numFmt w:val="decimal"/>
      <w:lvlText w:val="%1.%2.%3.%4.%5.%6."/>
      <w:lvlJc w:val="left"/>
      <w:pPr>
        <w:ind w:left="3915" w:hanging="1080"/>
      </w:pPr>
    </w:lvl>
    <w:lvl w:ilvl="6" w:tentative="0">
      <w:start w:val="1"/>
      <w:numFmt w:val="decimal"/>
      <w:lvlText w:val="%1.%2.%3.%4.%5.%6.%7."/>
      <w:lvlJc w:val="left"/>
      <w:pPr>
        <w:ind w:left="4842" w:hanging="1440"/>
      </w:pPr>
    </w:lvl>
    <w:lvl w:ilvl="7" w:tentative="0">
      <w:start w:val="1"/>
      <w:numFmt w:val="decimal"/>
      <w:lvlText w:val="%1.%2.%3.%4.%5.%6.%7.%8."/>
      <w:lvlJc w:val="left"/>
      <w:pPr>
        <w:ind w:left="5409" w:hanging="1440"/>
      </w:pPr>
    </w:lvl>
    <w:lvl w:ilvl="8" w:tentative="0">
      <w:start w:val="1"/>
      <w:numFmt w:val="decimal"/>
      <w:lvlText w:val="%1.%2.%3.%4.%5.%6.%7.%8.%9."/>
      <w:lvlJc w:val="left"/>
      <w:pPr>
        <w:ind w:left="6336" w:hanging="1800"/>
      </w:pPr>
    </w:lvl>
  </w:abstractNum>
  <w:abstractNum w:abstractNumId="2">
    <w:nsid w:val="753D68B9"/>
    <w:multiLevelType w:val="multilevel"/>
    <w:tmpl w:val="753D68B9"/>
    <w:lvl w:ilvl="0" w:tentative="0">
      <w:start w:val="5"/>
      <w:numFmt w:val="decimal"/>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4E"/>
    <w:rsid w:val="000E3978"/>
    <w:rsid w:val="001A51DA"/>
    <w:rsid w:val="001D310B"/>
    <w:rsid w:val="001D6E51"/>
    <w:rsid w:val="002B101E"/>
    <w:rsid w:val="002F079C"/>
    <w:rsid w:val="003066C9"/>
    <w:rsid w:val="00321CD7"/>
    <w:rsid w:val="0037755E"/>
    <w:rsid w:val="003A44B4"/>
    <w:rsid w:val="004D7EE6"/>
    <w:rsid w:val="00574934"/>
    <w:rsid w:val="00606457"/>
    <w:rsid w:val="0068528E"/>
    <w:rsid w:val="007C6FBD"/>
    <w:rsid w:val="007F0573"/>
    <w:rsid w:val="007F2880"/>
    <w:rsid w:val="00831F61"/>
    <w:rsid w:val="008368AF"/>
    <w:rsid w:val="0088327F"/>
    <w:rsid w:val="008F2481"/>
    <w:rsid w:val="00937C3E"/>
    <w:rsid w:val="00981439"/>
    <w:rsid w:val="00983104"/>
    <w:rsid w:val="009B0947"/>
    <w:rsid w:val="00A91EA2"/>
    <w:rsid w:val="00AE05F7"/>
    <w:rsid w:val="00BB1545"/>
    <w:rsid w:val="00BF7C5F"/>
    <w:rsid w:val="00C93E33"/>
    <w:rsid w:val="00CA5015"/>
    <w:rsid w:val="00D32D4E"/>
    <w:rsid w:val="00D4151F"/>
    <w:rsid w:val="00D41C7D"/>
    <w:rsid w:val="00D56668"/>
    <w:rsid w:val="00DC5213"/>
    <w:rsid w:val="00E0734E"/>
    <w:rsid w:val="00E205E9"/>
    <w:rsid w:val="00E348D8"/>
    <w:rsid w:val="00E77E76"/>
    <w:rsid w:val="00E94CB0"/>
    <w:rsid w:val="00FE664E"/>
    <w:rsid w:val="00FF6EDA"/>
    <w:rsid w:val="013939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uppressAutoHyphens/>
      <w:spacing w:after="200" w:line="276" w:lineRule="auto"/>
    </w:pPr>
    <w:rPr>
      <w:rFonts w:ascii="Calibri" w:hAnsi="Calibri" w:eastAsia="Times New Roman" w:cs="Times New Roman"/>
      <w:sz w:val="22"/>
      <w:szCs w:val="22"/>
      <w:lang w:val="ru-RU" w:eastAsia="ar-S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6">
    <w:name w:val="Без интервала1"/>
    <w:uiPriority w:val="0"/>
    <w:pPr>
      <w:suppressAutoHyphens/>
      <w:spacing w:after="0" w:line="100" w:lineRule="atLeast"/>
    </w:pPr>
    <w:rPr>
      <w:rFonts w:ascii="Calibri" w:hAnsi="Calibri" w:eastAsia="SimSun" w:cs="Times New Roman"/>
      <w:sz w:val="22"/>
      <w:szCs w:val="22"/>
      <w:lang w:val="ru-RU" w:eastAsia="ar-SA" w:bidi="ar-SA"/>
    </w:rPr>
  </w:style>
  <w:style w:type="paragraph" w:customStyle="1" w:styleId="7">
    <w:name w:val="Default"/>
    <w:uiPriority w:val="0"/>
    <w:pPr>
      <w:autoSpaceDE w:val="0"/>
      <w:autoSpaceDN w:val="0"/>
      <w:adjustRightInd w:val="0"/>
      <w:spacing w:after="0" w:line="240" w:lineRule="auto"/>
    </w:pPr>
    <w:rPr>
      <w:rFonts w:ascii="Calibri" w:hAnsi="Calibri" w:cs="Calibri" w:eastAsiaTheme="minorHAnsi"/>
      <w:color w:val="000000"/>
      <w:sz w:val="24"/>
      <w:szCs w:val="24"/>
      <w:lang w:val="ru-RU" w:eastAsia="en-US" w:bidi="ar-SA"/>
    </w:rPr>
  </w:style>
  <w:style w:type="character" w:customStyle="1" w:styleId="8">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1679</Words>
  <Characters>9573</Characters>
  <Lines>79</Lines>
  <Paragraphs>22</Paragraphs>
  <TotalTime>0</TotalTime>
  <ScaleCrop>false</ScaleCrop>
  <LinksUpToDate>false</LinksUpToDate>
  <CharactersWithSpaces>11230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2023-11-16T13:19:00Z</dcterms:created>
  <dc:creator>Бредихин Артем Владимирович</dc:creator>
  <cp:lastModifiedBy>u1</cp:lastModifiedBy>
  <cp:lastPrinted>2022-10-04T13:20:00Z</cp:lastPrinted>
  <dcterms:modified xsi:type="dcterms:W3CDTF">2025-02-24T12:32:51Z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208CDD28BCFC446B96AEE0D00A3AA4E9_13</vt:lpwstr>
  </property>
</Properties>
</file>