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120000.00 (+/- 3031) кв.м.  Местоположение установлено относительно ориентира, расположенного за пределами участка. Ориентир п. Гашун-Бургуста. Участок находится примерно в 16,2 км, по направлению на юго-восток от ориентира. Почтовый адрес ориентира: Республика Калмыкия, Кетченеровский район.Категория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08:04:320103:53.Номер государственной регистрации:08-08/006-08/006/003/2015-257/1.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Шараева Светлана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40817810150181389890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120000.00 (+/- 3031) кв.м.  Местоположение установлено относительно ориентира, расположенного за пределами участка. Ориентир п. Гашун-Бургуста. Участок находится примерно в 16,2 км, по направлению на юго-восток от ориентира. Почтовый адрес ориентира: Республика Калмыкия, Кетченеровский район.Категория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08:04:320103:53.Номер государственной регистрации:08-08/006-08/006/003/2015-257/1.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1153</Words>
  <Characters>8440</Characters>
  <CharactersWithSpaces>9505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2025-04-09T15:05:32Z</dcterms:modified>
  <cp:revision>34</cp:revision>
  <dc:subject/>
  <dc:title/>
</cp:coreProperties>
</file>