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76"/>
        <w:pBdr/>
        <w:spacing/>
        <w:ind/>
        <w:jc w:val="right"/>
        <w:rPr/>
      </w:pPr>
      <w:r>
        <w:rPr>
          <w:b w:val="0"/>
          <w:sz w:val="22"/>
          <w:szCs w:val="22"/>
        </w:rPr>
        <w:t xml:space="preserve">Приложение № 1 </w:t>
      </w:r>
      <w:r/>
    </w:p>
    <w:p>
      <w:pPr>
        <w:pBdr/>
        <w:spacing/>
        <w:ind w:right="-57"/>
        <w:jc w:val="right"/>
        <w:rPr/>
      </w:pPr>
      <w:r>
        <w:rPr>
          <w:sz w:val="22"/>
          <w:szCs w:val="22"/>
        </w:rPr>
        <w:t xml:space="preserve">к Оферте</w:t>
      </w:r>
      <w:r/>
    </w:p>
    <w:p>
      <w:pPr>
        <w:pStyle w:val="876"/>
        <w:pBdr/>
        <w:spacing/>
        <w:ind/>
        <w:rPr/>
      </w:pPr>
      <w:r>
        <w:rPr>
          <w:sz w:val="24"/>
          <w:szCs w:val="24"/>
        </w:rPr>
        <w:t xml:space="preserve">Договор о задатке №____</w:t>
      </w:r>
      <w:r/>
    </w:p>
    <w:p>
      <w:pPr>
        <w:pStyle w:val="876"/>
        <w:pBdr/>
        <w:spacing/>
        <w:ind/>
        <w:rPr/>
      </w:pPr>
      <w:r>
        <w:rPr>
          <w:b w:val="0"/>
          <w:bCs w:val="0"/>
          <w:spacing w:val="30"/>
          <w:sz w:val="24"/>
          <w:szCs w:val="24"/>
        </w:rPr>
        <w:t xml:space="preserve">(договор присоединения)</w:t>
      </w:r>
      <w:r/>
    </w:p>
    <w:p>
      <w:pPr>
        <w:pStyle w:val="876"/>
        <w:pBdr/>
        <w:spacing/>
        <w:ind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</w:r>
      <w:r>
        <w:rPr>
          <w:b w:val="0"/>
          <w:bCs w:val="0"/>
          <w:spacing w:val="30"/>
          <w:sz w:val="24"/>
          <w:szCs w:val="24"/>
        </w:rPr>
      </w:r>
      <w:r>
        <w:rPr>
          <w:b w:val="0"/>
          <w:bCs w:val="0"/>
          <w:spacing w:val="30"/>
          <w:sz w:val="24"/>
          <w:szCs w:val="24"/>
        </w:rPr>
      </w:r>
    </w:p>
    <w:p>
      <w:pPr>
        <w:pBdr/>
        <w:shd w:val="clear" w:color="auto" w:fill="ffffff"/>
        <w:tabs>
          <w:tab w:val="left" w:leader="none" w:pos="1145"/>
        </w:tabs>
        <w:spacing/>
        <w:ind/>
        <w:jc w:val="both"/>
        <w:rPr/>
      </w:pPr>
      <w:r>
        <w:rPr>
          <w:b/>
        </w:rPr>
        <w:t xml:space="preserve">Акционерное общество «Российский аукционный дом»,</w:t>
      </w:r>
      <w:r>
        <w:t xml:space="preserve"> именуемое в дальнейшем «О</w:t>
      </w:r>
      <w:r>
        <w:t xml:space="preserve">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</w:rPr>
        <w:t xml:space="preserve"> </w:t>
      </w:r>
      <w:r>
        <w:t xml:space="preserve">претендент</w:t>
      </w:r>
      <w:r>
        <w:rPr>
          <w:b/>
        </w:rPr>
        <w:t xml:space="preserve"> </w:t>
      </w:r>
      <w:r>
        <w:t xml:space="preserve">________________________________________</w:t>
      </w:r>
      <w:r>
        <w:t xml:space="preserve">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 xml:space="preserve"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r/>
    </w:p>
    <w:p>
      <w:pPr>
        <w:pBdr/>
        <w:spacing/>
        <w:ind w:firstLine="567"/>
        <w:jc w:val="both"/>
        <w:rPr>
          <w:sz w:val="24"/>
          <w:szCs w:val="24"/>
        </w:rPr>
      </w:pPr>
      <w:r>
        <w:t xml:space="preserve">1. В соответствии с условиями настоящего Договора Претендент для участия в торгах в форме подачи предложений по цене </w:t>
      </w:r>
      <w:r>
        <w:rPr>
          <w:highlight w:val="white"/>
        </w:rPr>
        <w:t xml:space="preserve">с применением метода </w:t>
      </w:r>
      <w:r>
        <w:rPr>
          <w:highlight w:val="white"/>
        </w:rPr>
        <w:t xml:space="preserve">понижения</w:t>
      </w:r>
      <w:r>
        <w:rPr>
          <w:highlight w:val="white"/>
        </w:rPr>
        <w:t xml:space="preserve"> начальной цены («</w:t>
      </w:r>
      <w:r>
        <w:rPr>
          <w:highlight w:val="white"/>
        </w:rPr>
        <w:t xml:space="preserve">голландский аукцион</w:t>
      </w:r>
      <w:r>
        <w:rPr>
          <w:highlight w:val="white"/>
        </w:rPr>
        <w:t xml:space="preserve">»)</w:t>
      </w:r>
      <w:r>
        <w:rPr>
          <w:highlight w:val="white"/>
        </w:rPr>
        <w:t xml:space="preserve"> по продаже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е</w:t>
      </w:r>
      <w:r>
        <w:rPr>
          <w:sz w:val="24"/>
          <w:szCs w:val="24"/>
        </w:rPr>
        <w:t xml:space="preserve">диным лотом объектов недвижимости (далее –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Имущество</w:t>
      </w:r>
      <w:r>
        <w:rPr>
          <w:sz w:val="24"/>
          <w:szCs w:val="24"/>
        </w:rPr>
        <w:t xml:space="preserve">):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right="-57" w:firstLine="540"/>
        <w:jc w:val="both"/>
        <w:rPr/>
      </w:pPr>
      <w:r>
        <w:rPr>
          <w:highlight w:val="none"/>
        </w:rPr>
        <w:t xml:space="preserve">- </w:t>
      </w:r>
      <w:r>
        <w:rPr>
          <w:highlight w:val="white"/>
        </w:rPr>
        <w:t xml:space="preserve">Объект 1:</w:t>
      </w:r>
      <w:r>
        <w:t xml:space="preserve"> Земельный участок площадь: 794 +/- 10 к</w:t>
      </w:r>
      <w:r>
        <w:t xml:space="preserve">в</w:t>
      </w:r>
      <w:r>
        <w:t xml:space="preserve">. м, категория земель: земли населенных пунктов, виды разрешенного использования: для размещения многоквартирного жилого дома (жилых домов), кадастровый номер 78:07:0003236:8, местоположение: Санкт-Петербург, набережная реки Малой Невки, дом 37, литера В. </w:t>
      </w:r>
      <w:r>
        <w:t xml:space="preserve">Обременения (ограничения):</w:t>
      </w:r>
      <w:r>
        <w:rPr>
          <w:highlight w:val="white"/>
        </w:rPr>
        <w:t xml:space="preserve"> в соответствии с выпиской из ЕГРН от 07.04.2025:</w:t>
      </w:r>
      <w:r>
        <w:rPr>
          <w:highlight w:val="white"/>
        </w:rPr>
      </w:r>
      <w:r/>
    </w:p>
    <w:p>
      <w:pPr>
        <w:pBdr/>
        <w:spacing/>
        <w:ind w:right="-57" w:firstLine="540"/>
        <w:jc w:val="both"/>
        <w:rPr>
          <w:highlight w:val="white"/>
        </w:rPr>
      </w:pPr>
      <w:r>
        <w:rPr>
          <w:highlight w:val="white"/>
        </w:rPr>
        <w:t xml:space="preserve">Вид: прочие ограничения прав и обременения объекта недвижимости, дата государственной регистрации:02.07.2004, номер государственной регистрации: 78-01-144/2004-16.2, срок, на который установлено ограни</w:t>
      </w:r>
      <w:r>
        <w:rPr>
          <w:highlight w:val="white"/>
        </w:rPr>
        <w:t xml:space="preserve">чение прав и обременение объекта недвижимости: срок действия с 02.07.2004, лицо, в пользу которого установлено ограничение прав и обременение недвижимости: публичный, основание государственной регистрации: кадастровый план земельного участка от 03.11.2003;</w:t>
      </w:r>
      <w:r>
        <w:rPr>
          <w:highlight w:val="white"/>
        </w:rPr>
      </w:r>
      <w:r>
        <w:rPr>
          <w:highlight w:val="white"/>
        </w:rPr>
      </w:r>
    </w:p>
    <w:p>
      <w:pPr>
        <w:pBdr/>
        <w:spacing/>
        <w:ind w:right="-57" w:firstLine="540"/>
        <w:jc w:val="both"/>
        <w:rPr>
          <w:highlight w:val="white"/>
        </w:rPr>
      </w:pPr>
      <w:r>
        <w:rPr>
          <w:highlight w:val="white"/>
        </w:rPr>
        <w:t xml:space="preserve">Вид: прочие ограничения прав и обременения объекта недвижимости, дата государственной регистрации:02.07.2004, номер государственной регистрации: 78-01-144/2004-16.3, срок, на который установлено ограни</w:t>
      </w:r>
      <w:r>
        <w:rPr>
          <w:highlight w:val="white"/>
        </w:rPr>
        <w:t xml:space="preserve">чение прав и обременение объекта недвижимости: срок действия с 02.07.2004, лицо, в пользу которого установлено ограничение прав и обременение недвижимости: публичный, основание государственной регистрации: кадастровый план земельного участка от 03.11.2003.</w:t>
      </w:r>
      <w:r>
        <w:rPr>
          <w:highlight w:val="white"/>
        </w:rPr>
      </w:r>
      <w:r>
        <w:rPr>
          <w:highlight w:val="white"/>
        </w:rPr>
      </w:r>
    </w:p>
    <w:p>
      <w:pPr>
        <w:pBdr/>
        <w:spacing/>
        <w:ind w:right="-57" w:firstLine="540"/>
        <w:jc w:val="both"/>
        <w:rPr/>
      </w:pPr>
      <w:r>
        <w:t xml:space="preserve">- Объект 2: Квартира площадью 388, 7 кв.м., этаж № 1, этаж № 2, назначение: жилое, кадастровый номер 78:07:0003236:2025, местоположение: Санкт-Петербург, набережная реки Малой Невки, дом 37, литера В, кв.1. </w:t>
      </w:r>
      <w:r>
        <w:t xml:space="preserve">Обременения (ограничения): в соответствии с выпиской из </w:t>
      </w:r>
      <w:r>
        <w:rPr>
          <w:highlight w:val="white"/>
        </w:rPr>
        <w:t xml:space="preserve">ЕГРН от 07.04.2025</w:t>
      </w:r>
      <w:r>
        <w:t xml:space="preserve"> не зарегистрированы.</w:t>
      </w:r>
      <w:r/>
    </w:p>
    <w:p>
      <w:pPr>
        <w:pBdr/>
        <w:spacing/>
        <w:ind w:right="-57" w:firstLine="540"/>
        <w:jc w:val="both"/>
        <w:rPr/>
      </w:pPr>
      <w:r>
        <w:rPr>
          <w:highlight w:val="none"/>
        </w:rPr>
        <w:t xml:space="preserve">- </w:t>
      </w:r>
      <w:r>
        <w:rPr>
          <w:highlight w:val="white"/>
        </w:rPr>
        <w:t xml:space="preserve">Объект 3: К</w:t>
      </w:r>
      <w:r>
        <w:t xml:space="preserve">вартира площадью 433,3 кв.м., этаж № 2, мансарда, назначение: жилое, кадастровый номер 78:07:0003236:2026, местоположение: Санкт-Петербург, набережная реки Малой Невки, дом 37, литера В, кв.2. </w:t>
      </w:r>
      <w:r>
        <w:t xml:space="preserve">Обременения (ограничения): в соответствии с выпиской из ЕГРН </w:t>
      </w:r>
      <w:r>
        <w:t xml:space="preserve">от 07.04.2025</w:t>
      </w:r>
      <w:r>
        <w:t xml:space="preserve"> не зарегистрированы.</w:t>
      </w:r>
      <w:r/>
    </w:p>
    <w:p>
      <w:pPr>
        <w:pBdr/>
        <w:spacing/>
        <w:ind w:right="-57" w:firstLine="540"/>
        <w:jc w:val="both"/>
        <w:rPr/>
      </w:pPr>
      <w:r>
        <w:t xml:space="preserve">- Объект 4: Нежилое помещение площадью 1</w:t>
      </w:r>
      <w:r>
        <w:t xml:space="preserve">4</w:t>
      </w:r>
      <w:r>
        <w:t xml:space="preserve">2,4 кв.м., этаж: подвал, наименование: блок помещений с душевой , комнатой отдыха, бассейном, венткамерой бассейна квартиры № 1, кадастровый номер 78:07:0003236:2103, местоположение: Санкт-Петербург, набережная реки Малой Невки, дом 37, лит. пом 1-Н, 2-Н. </w:t>
      </w:r>
      <w:r>
        <w:t xml:space="preserve">Обременения (ограничения): в соответствии с выпиской из</w:t>
      </w:r>
      <w:r>
        <w:rPr>
          <w:highlight w:val="white"/>
        </w:rPr>
        <w:t xml:space="preserve"> ЕГРН от 07.04.2025</w:t>
      </w:r>
      <w:r>
        <w:t xml:space="preserve">не зарегистрированы.</w:t>
      </w:r>
      <w:r/>
    </w:p>
    <w:p>
      <w:pPr>
        <w:pBdr/>
        <w:spacing/>
        <w:ind w:right="-57" w:firstLine="540"/>
        <w:jc w:val="both"/>
        <w:rPr/>
      </w:pPr>
      <w:r>
        <w:rPr>
          <w:highlight w:val="none"/>
        </w:rPr>
        <w:t xml:space="preserve">- </w:t>
      </w:r>
      <w:r>
        <w:rPr>
          <w:highlight w:val="white"/>
        </w:rPr>
        <w:t xml:space="preserve">Объект 5: Нежилое</w:t>
      </w:r>
      <w:r>
        <w:t xml:space="preserve"> помещение площадью 80,1 кв.м., этаж: подвал, наименование: блок помещений с душевой, комнатой отдыха квартиры № 2, кадастровый номер 78:07:0003236:2105, местоположение: Санкт-Петербург, набережная реки Малой Невки, дом 37, литера В, пом 3-Н. </w:t>
      </w:r>
      <w:r>
        <w:t xml:space="preserve">Обременения (ограничения): в соответствии с выпиской из ЕГРН </w:t>
      </w:r>
      <w:r>
        <w:t xml:space="preserve">от 07.04.2025</w:t>
      </w:r>
      <w:r>
        <w:t xml:space="preserve"> не зарегистрированы.</w:t>
      </w:r>
      <w:r/>
    </w:p>
    <w:p>
      <w:pPr>
        <w:pBdr/>
        <w:spacing/>
        <w:ind w:right="-57" w:firstLine="540"/>
        <w:jc w:val="both"/>
        <w:rPr>
          <w:highlight w:val="none"/>
        </w:rPr>
      </w:pPr>
      <w:r>
        <w:rPr>
          <w:highlight w:val="none"/>
        </w:rPr>
        <w:t xml:space="preserve">- </w:t>
      </w:r>
      <w:r>
        <w:rPr>
          <w:highlight w:val="white"/>
        </w:rPr>
        <w:t xml:space="preserve">Объект 6: </w:t>
      </w:r>
      <w:r>
        <w:t xml:space="preserve">Нежилое помещение площадью 72,4 кв.м., этаж: подвал, наименование: вспомогательные службы дома, кладовые дома, кадастровый номер 78:07:0003236:2106, местоположение: Санкт-Петербург, набережная реки Малой Невки, дом 37, литера В, пом 4-Н, 5-Н, 6-Н. </w:t>
      </w:r>
      <w:r>
        <w:t xml:space="preserve">Обременения (ограничения): в соответствии с выпиской из ЕГРН </w:t>
      </w:r>
      <w:r>
        <w:t xml:space="preserve">от 07.04.2025</w:t>
      </w:r>
      <w:r>
        <w:t xml:space="preserve"> не зарегистрированы.</w:t>
      </w:r>
      <w:r/>
    </w:p>
    <w:p>
      <w:pPr>
        <w:pBdr/>
        <w:spacing/>
        <w:ind w:right="-57"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  <w:highlight w:val="white"/>
        </w:rPr>
        <w:t xml:space="preserve">При переходе права собственности на Объекты </w:t>
      </w:r>
      <w:r>
        <w:rPr>
          <w:rFonts w:eastAsia="Times New Roman" w:cs="Times New Roman"/>
          <w:highlight w:val="white"/>
          <w:shd w:val="clear" w:color="auto" w:fill="ffffff"/>
        </w:rPr>
        <w:t xml:space="preserve">в соответствии с действующим законодательством переходят в полном объеме права и обязанности на</w:t>
      </w:r>
      <w:r>
        <w:rPr>
          <w:rFonts w:eastAsia="Times New Roman" w:cs="Times New Roman"/>
          <w:highlight w:val="white"/>
        </w:rPr>
        <w:t xml:space="preserve"> общее имущество, составляющее многоквартирный дом по адресу: Санкт-Петербург, набережная реки Малой Невки, дом 37, литера В с  кадастровым номером 78:07:0003236:2017, общей </w:t>
      </w:r>
      <w:r>
        <w:rPr>
          <w:rFonts w:eastAsia="Times New Roman" w:cs="Times New Roman"/>
        </w:rPr>
        <w:t xml:space="preserve">площадью 1116.9 кв.м, количество этажей, в том числе подземных: 3, в том числе подземных подвал,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pBdr/>
        <w:spacing/>
        <w:ind w:right="-57" w:firstLine="540"/>
        <w:jc w:val="both"/>
        <w:rPr/>
      </w:pP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/>
      </w:pPr>
      <w:r>
        <w:t xml:space="preserve"> перечисляет денежные средства </w:t>
      </w:r>
      <w:r>
        <w:rPr>
          <w:b/>
        </w:rPr>
        <w:t xml:space="preserve">в размере </w:t>
      </w:r>
      <w:r>
        <w:rPr>
          <w:b/>
        </w:rPr>
        <w:t xml:space="preserve">40 000 000</w:t>
      </w:r>
      <w:r>
        <w:rPr>
          <w:b/>
        </w:rPr>
        <w:t xml:space="preserve"> (</w:t>
      </w:r>
      <w:r>
        <w:rPr>
          <w:b/>
        </w:rPr>
        <w:t xml:space="preserve">сорок</w:t>
      </w:r>
      <w:r>
        <w:rPr>
          <w:b/>
        </w:rPr>
        <w:t xml:space="preserve"> миллионов) рублей</w:t>
      </w:r>
      <w:r>
        <w:rPr>
          <w:b/>
          <w:bCs/>
        </w:rPr>
        <w:t xml:space="preserve"> </w:t>
      </w:r>
      <w:r>
        <w:t xml:space="preserve">(далее – «</w:t>
      </w:r>
      <w:r>
        <w:rPr>
          <w:b/>
        </w:rPr>
        <w:t xml:space="preserve">Задаток</w:t>
      </w:r>
      <w:r>
        <w:t xml:space="preserve">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  <w:r/>
    </w:p>
    <w:p>
      <w:pPr>
        <w:pBdr/>
        <w:spacing/>
        <w:ind w:firstLine="567"/>
        <w:jc w:val="both"/>
        <w:rPr/>
      </w:pPr>
      <w:r>
        <w:rPr>
          <w:b/>
          <w:bCs/>
          <w:u w:val="single"/>
        </w:rPr>
        <w:t xml:space="preserve">Получатель</w:t>
      </w:r>
      <w:r>
        <w:rPr>
          <w:b/>
          <w:bCs/>
        </w:rPr>
        <w:t xml:space="preserve"> - АО «Российский аукционный дом» (ИНН 7838430413, КПП 783801001):</w:t>
      </w:r>
      <w:r/>
    </w:p>
    <w:p>
      <w:pPr>
        <w:pBdr/>
        <w:spacing/>
        <w:ind w:firstLine="567"/>
        <w:jc w:val="both"/>
        <w:rPr/>
      </w:pPr>
      <w:r>
        <w:rPr>
          <w:b/>
          <w:bCs/>
        </w:rPr>
        <w:t xml:space="preserve">р/с № 40702810355000036459 в СЕВЕРО-ЗАПАДНЫЙ БАНК ПАО СБЕРБАНК,</w:t>
      </w:r>
      <w:r/>
    </w:p>
    <w:p>
      <w:pPr>
        <w:pBdr/>
        <w:spacing/>
        <w:ind w:firstLine="567"/>
        <w:jc w:val="both"/>
        <w:rPr/>
      </w:pPr>
      <w:r>
        <w:rPr>
          <w:b/>
          <w:bCs/>
        </w:rPr>
        <w:t xml:space="preserve">БИК 044030653, к/с 30101810500000000653.</w:t>
      </w:r>
      <w:r/>
    </w:p>
    <w:p>
      <w:pPr>
        <w:pBdr/>
        <w:spacing/>
        <w:ind w:firstLine="567"/>
        <w:jc w:val="both"/>
        <w:rPr/>
      </w:pPr>
      <w:r>
        <w:t xml:space="preserve">2. Задаток должен быть внесен Претендентом не позднее даты, указанной в информационном сообщении о продаже </w:t>
      </w:r>
      <w:r>
        <w:rPr>
          <w:b/>
        </w:rPr>
        <w:t xml:space="preserve"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>
        <w:rPr>
          <w:b/>
        </w:rPr>
        <w:t xml:space="preserve">Имущества</w:t>
      </w:r>
      <w:r>
        <w:t xml:space="preserve">. Задаток считается внесенным с даты поступления всей суммы Задатка на указанный счет.</w:t>
      </w:r>
      <w:r/>
    </w:p>
    <w:p>
      <w:pPr>
        <w:pBdr/>
        <w:spacing/>
        <w:ind w:firstLine="567"/>
        <w:jc w:val="both"/>
        <w:rPr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>
        <w:rPr>
          <w:b/>
        </w:rPr>
        <w:t xml:space="preserve">Имущества</w:t>
      </w:r>
      <w:r>
        <w:t xml:space="preserve"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  <w:r/>
    </w:p>
    <w:p>
      <w:pPr>
        <w:pBdr/>
        <w:spacing/>
        <w:ind w:firstLine="567"/>
        <w:jc w:val="both"/>
        <w:rPr/>
      </w:pPr>
      <w: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</w:t>
      </w:r>
      <w:r>
        <w:t xml:space="preserve">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r/>
    </w:p>
    <w:p>
      <w:pPr>
        <w:pBdr/>
        <w:spacing/>
        <w:ind w:firstLine="567"/>
        <w:jc w:val="both"/>
        <w:rPr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 xml:space="preserve"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  <w:r/>
    </w:p>
    <w:p>
      <w:pPr>
        <w:pBdr/>
        <w:spacing/>
        <w:ind w:firstLine="567"/>
        <w:jc w:val="both"/>
        <w:rPr/>
      </w:pPr>
      <w:r>
        <w:t xml:space="preserve"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r/>
    </w:p>
    <w:p>
      <w:pPr>
        <w:pBdr/>
        <w:spacing/>
        <w:ind w:firstLine="567"/>
        <w:jc w:val="both"/>
        <w:rPr/>
      </w:pPr>
      <w:r>
        <w:t xml:space="preserve">5. Исполнение обязанности по внесению суммы задатка третьими лицами не допускается.</w:t>
      </w:r>
      <w:r/>
    </w:p>
    <w:p>
      <w:pPr>
        <w:pBdr/>
        <w:spacing/>
        <w:ind w:firstLine="567"/>
        <w:jc w:val="both"/>
        <w:rPr/>
      </w:pPr>
      <w: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</w:t>
      </w:r>
      <w:r>
        <w:t xml:space="preserve"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939"/>
        </w:rPr>
        <w:footnoteReference w:id="2"/>
      </w:r>
      <w:r>
        <w:t xml:space="preserve">. </w:t>
      </w:r>
      <w:r/>
    </w:p>
    <w:p>
      <w:pPr>
        <w:pBdr/>
        <w:spacing/>
        <w:ind w:firstLine="567"/>
        <w:jc w:val="both"/>
        <w:rPr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</w:t>
      </w:r>
      <w:r>
        <w:t xml:space="preserve">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  <w:r/>
    </w:p>
    <w:p>
      <w:pPr>
        <w:pBdr/>
        <w:spacing/>
        <w:ind w:firstLine="567"/>
        <w:jc w:val="both"/>
        <w:rPr/>
      </w:pPr>
      <w: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</w:t>
      </w:r>
      <w:r>
        <w:t xml:space="preserve">размещения протокола об итогах торгов, за исключением Претендента, признанного победителем </w:t>
      </w:r>
      <w:bookmarkStart w:id="0" w:name="_Hlk171615364"/>
      <w:r>
        <w:t xml:space="preserve">или единственным участником</w:t>
      </w:r>
      <w:bookmarkEnd w:id="0"/>
      <w:r>
        <w:t xml:space="preserve"> торгов в электронной форме.</w:t>
      </w:r>
      <w:r/>
    </w:p>
    <w:p>
      <w:pPr>
        <w:pBdr/>
        <w:spacing/>
        <w:ind w:firstLine="567"/>
        <w:jc w:val="both"/>
        <w:rPr/>
      </w:pPr>
      <w:r>
        <w:t xml:space="preserve"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  <w:r/>
    </w:p>
    <w:p>
      <w:pPr>
        <w:pBdr/>
        <w:spacing/>
        <w:ind w:firstLine="567"/>
        <w:jc w:val="both"/>
        <w:rPr/>
      </w:pPr>
      <w:r>
        <w:t xml:space="preserve">10. В случае уклонении (отказа) победителя торгов/единственного участника </w:t>
      </w:r>
      <w:bookmarkStart w:id="1" w:name="_Hlk171671753"/>
      <w:r>
        <w:t xml:space="preserve">торгов</w:t>
      </w:r>
      <w:bookmarkEnd w:id="1"/>
      <w:r>
        <w:t xml:space="preserve"> от подписания договора купли-продажи или </w:t>
      </w:r>
      <w:r>
        <w:t xml:space="preserve">оплаты  цены</w:t>
      </w:r>
      <w:r>
        <w:t xml:space="preserve"> Имущества, внесенный победителем торгов/единственным участником торгов задаток ему не возвращается.  </w:t>
      </w:r>
      <w:r/>
    </w:p>
    <w:p>
      <w:pPr>
        <w:pBdr/>
        <w:spacing/>
        <w:ind w:firstLine="567"/>
        <w:jc w:val="both"/>
        <w:rPr/>
      </w:pPr>
      <w:r>
        <w:t xml:space="preserve">11. Все возможные споры и разногласия, связанные с исполнением настоящего Договора, будут разрешаться Сто</w:t>
      </w:r>
      <w:r>
        <w:t xml:space="preserve">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  <w:r/>
    </w:p>
    <w:p>
      <w:pPr>
        <w:pBdr/>
        <w:spacing/>
        <w:ind w:firstLine="567"/>
        <w:jc w:val="both"/>
        <w:rPr/>
      </w:pPr>
      <w:r>
        <w:t xml:space="preserve"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</w:t>
      </w:r>
      <w:r>
        <w:t xml:space="preserve">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  <w:r/>
    </w:p>
    <w:p>
      <w:pPr>
        <w:pBdr/>
        <w:spacing/>
        <w:ind w:firstLine="284"/>
        <w:jc w:val="center"/>
        <w:rPr/>
      </w:pPr>
      <w:r>
        <w:rPr>
          <w:b/>
          <w:bCs/>
        </w:rPr>
        <w:t xml:space="preserve">Реквизиты сторон:</w:t>
      </w:r>
      <w:r/>
    </w:p>
    <w:p>
      <w:pPr>
        <w:pBdr/>
        <w:spacing/>
        <w:ind w:firstLine="284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tbl>
      <w:tblPr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>
        <w:trPr>
          <w:trHeight w:val="3059"/>
        </w:trPr>
        <w:tc>
          <w:tcPr>
            <w:tcBorders/>
            <w:tcW w:w="478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Оператор:</w:t>
            </w:r>
            <w:r/>
          </w:p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Акционерное общество</w:t>
            </w:r>
            <w:r/>
          </w:p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«Российский аукционный дом»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Адрес для корреспонденции:</w:t>
            </w:r>
            <w:r/>
          </w:p>
          <w:p>
            <w:pPr>
              <w:pBdr/>
              <w:spacing/>
              <w:ind/>
              <w:rPr/>
            </w:pPr>
            <w:r>
              <w:t xml:space="preserve">190000 Санкт-Петербург,</w:t>
            </w:r>
            <w:r/>
          </w:p>
          <w:p>
            <w:pPr>
              <w:pBdr/>
              <w:spacing/>
              <w:ind/>
              <w:rPr/>
            </w:pPr>
            <w:r>
              <w:t xml:space="preserve">пер. Гривцова, д.5, лит. В</w:t>
            </w:r>
            <w:r/>
          </w:p>
          <w:p>
            <w:pPr>
              <w:pBdr/>
              <w:spacing/>
              <w:ind/>
              <w:rPr/>
            </w:pPr>
            <w:r>
              <w:t xml:space="preserve">тел. 8 (800) 777-57-57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ОГРН: 1097847233351, ИНН: 7838430413, КПП: 783801001</w:t>
            </w:r>
            <w:r/>
          </w:p>
          <w:p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р/с № 40702810355000036459</w:t>
            </w:r>
            <w:r/>
          </w:p>
          <w:p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СЕВЕРО-ЗАПАДНЫЙ БАНК ПАО СБЕРБАНК</w:t>
            </w:r>
            <w:r/>
          </w:p>
          <w:p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БИК 044030653</w:t>
            </w:r>
            <w:r/>
          </w:p>
          <w:p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к/с 30101810500000000653</w:t>
            </w:r>
            <w:r/>
          </w:p>
        </w:tc>
        <w:tc>
          <w:tcPr>
            <w:tcBorders/>
            <w:tcW w:w="764" w:type="dxa"/>
            <w:textDirection w:val="lrTb"/>
            <w:noWrap w:val="false"/>
          </w:tcPr>
          <w:p>
            <w:pPr>
              <w:pBdr/>
              <w:spacing/>
              <w:ind w:firstLine="284"/>
              <w:jc w:val="both"/>
              <w:rPr/>
            </w:pPr>
            <w:r/>
            <w:r/>
          </w:p>
        </w:tc>
        <w:tc>
          <w:tcPr>
            <w:tcBorders/>
            <w:tcW w:w="427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ab/>
            </w:r>
            <w:r>
              <w:rPr>
                <w:b/>
                <w:bCs/>
              </w:rPr>
              <w:t xml:space="preserve">ПРЕТЕНДЕНТ: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b/>
                <w:bCs/>
              </w:rPr>
              <w:t xml:space="preserve">_________________________________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</w:tbl>
    <w:p>
      <w:pPr>
        <w:pBdr/>
        <w:spacing/>
        <w:ind w:firstLine="284"/>
        <w:jc w:val="both"/>
        <w:rPr/>
      </w:pPr>
      <w:r>
        <w:rPr>
          <w:b/>
          <w:bCs/>
        </w:rPr>
        <w:t xml:space="preserve">        </w:t>
      </w:r>
      <w:r/>
    </w:p>
    <w:p>
      <w:pPr>
        <w:pBdr/>
        <w:spacing/>
        <w:ind/>
        <w:jc w:val="both"/>
        <w:rPr/>
      </w:pPr>
      <w:r>
        <w:rPr>
          <w:b/>
          <w:bCs/>
        </w:rPr>
        <w:t xml:space="preserve"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ОТ ПРЕТЕНДЕНТА</w:t>
      </w:r>
      <w:r/>
    </w:p>
    <w:p>
      <w:pPr>
        <w:pBdr/>
        <w:spacing/>
        <w:ind/>
        <w:rPr/>
      </w:pPr>
      <w:r>
        <w:t xml:space="preserve">_____________________/ Е.В. Канцерова/</w:t>
      </w:r>
      <w:r>
        <w:tab/>
        <w:t xml:space="preserve">            _______________________/_________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425" w:right="567" w:bottom="39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egoe UI">
    <w:panose1 w:val="020B0502040204020203"/>
  </w:font>
  <w:font w:name="Times New Roman">
    <w:panose1 w:val="02020603050405020304"/>
  </w:font>
  <w:font w:name="Lucida Sans">
    <w:panose1 w:val="020B0602030504020204"/>
  </w:font>
  <w:font w:name="NTTimes/Cyrillic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898"/>
        <w:pBdr/>
        <w:spacing/>
        <w:ind/>
        <w:rPr/>
      </w:pPr>
      <w:r>
        <w:rPr>
          <w:rStyle w:val="939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1">
    <w:name w:val="Heading 1 Char"/>
    <w:basedOn w:val="738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2">
    <w:name w:val="Heading 2 Char"/>
    <w:basedOn w:val="738"/>
    <w:link w:val="7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3">
    <w:name w:val="Heading 3 Char"/>
    <w:basedOn w:val="738"/>
    <w:link w:val="7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4">
    <w:name w:val="Heading 4 Char"/>
    <w:basedOn w:val="738"/>
    <w:link w:val="7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5">
    <w:name w:val="Heading 5 Char"/>
    <w:basedOn w:val="738"/>
    <w:link w:val="7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6">
    <w:name w:val="Heading 6 Char"/>
    <w:basedOn w:val="738"/>
    <w:link w:val="7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7">
    <w:name w:val="Heading 7 Char"/>
    <w:basedOn w:val="738"/>
    <w:link w:val="7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8">
    <w:name w:val="Heading 8 Char"/>
    <w:basedOn w:val="738"/>
    <w:link w:val="7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9">
    <w:name w:val="Heading 9 Char"/>
    <w:basedOn w:val="738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0">
    <w:name w:val="Title Char"/>
    <w:basedOn w:val="738"/>
    <w:link w:val="87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1">
    <w:name w:val="Subtitle Char"/>
    <w:basedOn w:val="738"/>
    <w:link w:val="87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2">
    <w:name w:val="Quote Char"/>
    <w:basedOn w:val="738"/>
    <w:link w:val="88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3">
    <w:name w:val="Intense Quote Char"/>
    <w:basedOn w:val="738"/>
    <w:link w:val="88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4">
    <w:name w:val="Header Char"/>
    <w:basedOn w:val="738"/>
    <w:link w:val="893"/>
    <w:uiPriority w:val="99"/>
    <w:pPr>
      <w:pBdr/>
      <w:spacing/>
      <w:ind/>
    </w:pPr>
  </w:style>
  <w:style w:type="character" w:styleId="725">
    <w:name w:val="Footer Char"/>
    <w:basedOn w:val="738"/>
    <w:link w:val="895"/>
    <w:uiPriority w:val="99"/>
    <w:pPr>
      <w:pBdr/>
      <w:spacing/>
      <w:ind/>
    </w:pPr>
  </w:style>
  <w:style w:type="character" w:styleId="726">
    <w:name w:val="Footnote Text Char"/>
    <w:basedOn w:val="738"/>
    <w:link w:val="898"/>
    <w:uiPriority w:val="99"/>
    <w:semiHidden/>
    <w:pPr>
      <w:pBdr/>
      <w:spacing/>
      <w:ind/>
    </w:pPr>
    <w:rPr>
      <w:sz w:val="20"/>
      <w:szCs w:val="20"/>
    </w:rPr>
  </w:style>
  <w:style w:type="character" w:styleId="727">
    <w:name w:val="Endnote Text Char"/>
    <w:basedOn w:val="738"/>
    <w:link w:val="901"/>
    <w:uiPriority w:val="99"/>
    <w:semiHidden/>
    <w:pPr>
      <w:pBdr/>
      <w:spacing/>
      <w:ind/>
    </w:pPr>
    <w:rPr>
      <w:sz w:val="20"/>
      <w:szCs w:val="20"/>
    </w:rPr>
  </w:style>
  <w:style w:type="paragraph" w:styleId="728" w:default="1">
    <w:name w:val="Normal"/>
    <w:qFormat/>
    <w:pPr>
      <w:pBdr/>
      <w:spacing/>
      <w:ind/>
    </w:pPr>
    <w:rPr>
      <w:color w:val="000000"/>
      <w:sz w:val="24"/>
      <w:szCs w:val="24"/>
      <w:lang w:eastAsia="zh-CN"/>
    </w:rPr>
  </w:style>
  <w:style w:type="paragraph" w:styleId="729">
    <w:name w:val="Heading 1"/>
    <w:basedOn w:val="728"/>
    <w:next w:val="728"/>
    <w:link w:val="86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30">
    <w:name w:val="Heading 2"/>
    <w:basedOn w:val="728"/>
    <w:next w:val="728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31">
    <w:name w:val="Heading 3"/>
    <w:basedOn w:val="728"/>
    <w:next w:val="728"/>
    <w:link w:val="86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32">
    <w:name w:val="Heading 4"/>
    <w:basedOn w:val="728"/>
    <w:next w:val="728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33">
    <w:name w:val="Heading 5"/>
    <w:basedOn w:val="728"/>
    <w:next w:val="728"/>
    <w:link w:val="87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34">
    <w:name w:val="Heading 6"/>
    <w:basedOn w:val="728"/>
    <w:next w:val="728"/>
    <w:link w:val="872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5">
    <w:name w:val="Heading 7"/>
    <w:basedOn w:val="728"/>
    <w:next w:val="728"/>
    <w:link w:val="873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36">
    <w:name w:val="Heading 8"/>
    <w:basedOn w:val="728"/>
    <w:next w:val="728"/>
    <w:link w:val="874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37">
    <w:name w:val="Heading 9"/>
    <w:basedOn w:val="728"/>
    <w:next w:val="728"/>
    <w:link w:val="875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38" w:default="1">
    <w:name w:val="Default Paragraph Font"/>
    <w:uiPriority w:val="1"/>
    <w:semiHidden/>
    <w:unhideWhenUsed/>
    <w:pPr>
      <w:pBdr/>
      <w:spacing/>
      <w:ind/>
    </w:pPr>
  </w:style>
  <w:style w:type="table" w:styleId="73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0" w:default="1">
    <w:name w:val="No List"/>
    <w:uiPriority w:val="99"/>
    <w:semiHidden/>
    <w:unhideWhenUsed/>
    <w:pPr>
      <w:pBdr/>
      <w:spacing/>
      <w:ind/>
    </w:pPr>
  </w:style>
  <w:style w:type="table" w:styleId="741">
    <w:name w:val="Table Grid"/>
    <w:basedOn w:val="739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Table Grid Light"/>
    <w:basedOn w:val="739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1"/>
    <w:basedOn w:val="739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2"/>
    <w:basedOn w:val="739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3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4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5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1 Light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2 - Accent 1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2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3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4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5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6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3 - Accent 1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2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3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4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5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6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4 - Accent 1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2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3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4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5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6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5 Dark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6 Colorful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7 Colorful - Accent 1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a6bfdd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2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d99695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3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abb59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4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b2a1c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5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9d0d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6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ac39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1 Light - Accent 1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2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3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4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5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6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2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3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4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5 Dark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6 Colorful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7 Colorful - Accent 1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4f81bd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2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d99695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3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c3d69b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4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b2a1c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5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2ccdc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6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ac0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 1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2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3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 4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 5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6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 1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2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3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4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 5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6"/>
    <w:basedOn w:val="7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7" w:customStyle="1">
    <w:name w:val="Заголовок 1 Знак"/>
    <w:link w:val="729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68" w:customStyle="1">
    <w:name w:val="Заголовок 2 Знак"/>
    <w:link w:val="730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69" w:customStyle="1">
    <w:name w:val="Заголовок 3 Знак"/>
    <w:link w:val="731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70" w:customStyle="1">
    <w:name w:val="Заголовок 4 Знак"/>
    <w:link w:val="732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71" w:customStyle="1">
    <w:name w:val="Заголовок 5 Знак"/>
    <w:link w:val="733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72" w:customStyle="1">
    <w:name w:val="Заголовок 6 Знак"/>
    <w:link w:val="734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73" w:customStyle="1">
    <w:name w:val="Заголовок 7 Знак"/>
    <w:link w:val="735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74" w:customStyle="1">
    <w:name w:val="Заголовок 8 Знак"/>
    <w:link w:val="736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75" w:customStyle="1">
    <w:name w:val="Заголовок 9 Знак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76">
    <w:name w:val="Title"/>
    <w:basedOn w:val="728"/>
    <w:next w:val="942"/>
    <w:link w:val="877"/>
    <w:pPr>
      <w:pBdr/>
      <w:spacing/>
      <w:ind/>
      <w:jc w:val="center"/>
    </w:pPr>
    <w:rPr>
      <w:b/>
      <w:bCs/>
      <w:sz w:val="28"/>
      <w:szCs w:val="28"/>
    </w:rPr>
  </w:style>
  <w:style w:type="character" w:styleId="877" w:customStyle="1">
    <w:name w:val="Заголовок Знак"/>
    <w:link w:val="87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8">
    <w:name w:val="Subtitle"/>
    <w:basedOn w:val="728"/>
    <w:next w:val="728"/>
    <w:link w:val="879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879" w:customStyle="1">
    <w:name w:val="Подзаголовок Знак"/>
    <w:link w:val="878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80">
    <w:name w:val="Quote"/>
    <w:basedOn w:val="728"/>
    <w:next w:val="728"/>
    <w:link w:val="881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881" w:customStyle="1">
    <w:name w:val="Цитата 2 Знак"/>
    <w:link w:val="880"/>
    <w:uiPriority w:val="29"/>
    <w:pPr>
      <w:pBdr/>
      <w:spacing/>
      <w:ind/>
    </w:pPr>
    <w:rPr>
      <w:i/>
      <w:iCs/>
      <w:color w:val="404040"/>
    </w:rPr>
  </w:style>
  <w:style w:type="paragraph" w:styleId="882">
    <w:name w:val="List Paragraph"/>
    <w:basedOn w:val="728"/>
    <w:uiPriority w:val="34"/>
    <w:qFormat/>
    <w:pPr>
      <w:pBdr/>
      <w:spacing w:after="11" w:line="268" w:lineRule="auto"/>
      <w:ind w:right="483" w:firstLine="710" w:left="720"/>
      <w:contextualSpacing w:val="true"/>
      <w:jc w:val="both"/>
    </w:pPr>
    <w:rPr>
      <w:szCs w:val="22"/>
      <w:lang w:eastAsia="ru-RU"/>
    </w:rPr>
  </w:style>
  <w:style w:type="character" w:styleId="883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884">
    <w:name w:val="Intense Quote"/>
    <w:basedOn w:val="728"/>
    <w:next w:val="728"/>
    <w:link w:val="885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885" w:customStyle="1">
    <w:name w:val="Выделенная цитата Знак"/>
    <w:link w:val="884"/>
    <w:uiPriority w:val="30"/>
    <w:pPr>
      <w:pBdr/>
      <w:spacing/>
      <w:ind/>
    </w:pPr>
    <w:rPr>
      <w:i/>
      <w:iCs/>
      <w:color w:val="365f91"/>
    </w:rPr>
  </w:style>
  <w:style w:type="character" w:styleId="886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887">
    <w:name w:val="No Spacing"/>
    <w:basedOn w:val="728"/>
    <w:uiPriority w:val="1"/>
    <w:qFormat/>
    <w:pPr>
      <w:pBdr/>
      <w:spacing/>
      <w:ind/>
    </w:pPr>
  </w:style>
  <w:style w:type="character" w:styleId="888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889">
    <w:name w:val="Emphasis"/>
    <w:uiPriority w:val="20"/>
    <w:qFormat/>
    <w:pPr>
      <w:pBdr/>
      <w:spacing/>
      <w:ind/>
    </w:pPr>
    <w:rPr>
      <w:i/>
      <w:iCs/>
    </w:rPr>
  </w:style>
  <w:style w:type="character" w:styleId="890">
    <w:name w:val="Strong"/>
    <w:qFormat/>
    <w:pPr>
      <w:pBdr/>
      <w:spacing/>
      <w:ind/>
    </w:pPr>
    <w:rPr>
      <w:b/>
      <w:bCs/>
    </w:rPr>
  </w:style>
  <w:style w:type="character" w:styleId="891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892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3">
    <w:name w:val="Header"/>
    <w:basedOn w:val="728"/>
    <w:link w:val="894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894" w:customStyle="1">
    <w:name w:val="Верхний колонтитул Знак1"/>
    <w:basedOn w:val="738"/>
    <w:link w:val="893"/>
    <w:uiPriority w:val="99"/>
    <w:pPr>
      <w:pBdr/>
      <w:spacing/>
      <w:ind/>
    </w:pPr>
  </w:style>
  <w:style w:type="paragraph" w:styleId="895">
    <w:name w:val="Footer"/>
    <w:basedOn w:val="728"/>
    <w:link w:val="896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896" w:customStyle="1">
    <w:name w:val="Нижний колонтитул Знак1"/>
    <w:basedOn w:val="738"/>
    <w:link w:val="895"/>
    <w:uiPriority w:val="99"/>
    <w:pPr>
      <w:pBdr/>
      <w:spacing/>
      <w:ind/>
    </w:pPr>
  </w:style>
  <w:style w:type="paragraph" w:styleId="897">
    <w:name w:val="Caption"/>
    <w:basedOn w:val="728"/>
    <w:qFormat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898">
    <w:name w:val="footnote text"/>
    <w:basedOn w:val="728"/>
    <w:link w:val="899"/>
    <w:pPr>
      <w:pBdr/>
      <w:spacing/>
      <w:ind/>
    </w:pPr>
    <w:rPr>
      <w:sz w:val="20"/>
      <w:szCs w:val="20"/>
    </w:rPr>
  </w:style>
  <w:style w:type="character" w:styleId="899" w:customStyle="1">
    <w:name w:val="Текст сноски Знак1"/>
    <w:link w:val="898"/>
    <w:uiPriority w:val="99"/>
    <w:semiHidden/>
    <w:pPr>
      <w:pBdr/>
      <w:spacing/>
      <w:ind/>
    </w:pPr>
    <w:rPr>
      <w:sz w:val="20"/>
      <w:szCs w:val="20"/>
    </w:rPr>
  </w:style>
  <w:style w:type="character" w:styleId="900">
    <w:name w:val="footnote reference"/>
    <w:pPr>
      <w:pBdr/>
      <w:spacing/>
      <w:ind/>
    </w:pPr>
    <w:rPr>
      <w:vertAlign w:val="superscript"/>
    </w:rPr>
  </w:style>
  <w:style w:type="paragraph" w:styleId="901">
    <w:name w:val="endnote text"/>
    <w:basedOn w:val="728"/>
    <w:link w:val="902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2" w:customStyle="1">
    <w:name w:val="Текст концевой сноски Знак"/>
    <w:link w:val="901"/>
    <w:uiPriority w:val="99"/>
    <w:semiHidden/>
    <w:pPr>
      <w:pBdr/>
      <w:spacing/>
      <w:ind/>
    </w:pPr>
    <w:rPr>
      <w:sz w:val="20"/>
      <w:szCs w:val="20"/>
    </w:rPr>
  </w:style>
  <w:style w:type="character" w:styleId="903">
    <w:name w:val="endnote reference"/>
    <w:pPr>
      <w:pBdr/>
      <w:spacing/>
      <w:ind/>
    </w:pPr>
    <w:rPr>
      <w:vertAlign w:val="superscript"/>
    </w:rPr>
  </w:style>
  <w:style w:type="character" w:styleId="904">
    <w:name w:val="Hyperlink"/>
    <w:pPr>
      <w:pBdr/>
      <w:spacing/>
      <w:ind/>
    </w:pPr>
    <w:rPr>
      <w:color w:val="0000ff"/>
      <w:u w:val="single"/>
    </w:rPr>
  </w:style>
  <w:style w:type="character" w:styleId="905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06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907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908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909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910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911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912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913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914">
    <w:name w:val="toc 9"/>
    <w:basedOn w:val="728"/>
    <w:next w:val="728"/>
    <w:uiPriority w:val="39"/>
    <w:unhideWhenUsed/>
    <w:pPr>
      <w:pBdr/>
      <w:spacing w:after="100"/>
      <w:ind w:left="1760"/>
    </w:pPr>
  </w:style>
  <w:style w:type="paragraph" w:styleId="915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16">
    <w:name w:val="table of figures"/>
    <w:basedOn w:val="728"/>
    <w:next w:val="728"/>
    <w:uiPriority w:val="99"/>
    <w:unhideWhenUsed/>
    <w:pPr>
      <w:pBdr/>
      <w:spacing/>
      <w:ind/>
    </w:pPr>
  </w:style>
  <w:style w:type="character" w:styleId="917" w:customStyle="1">
    <w:name w:val="WW8Num1z0"/>
    <w:pPr>
      <w:pBdr/>
      <w:spacing/>
      <w:ind/>
    </w:pPr>
  </w:style>
  <w:style w:type="character" w:styleId="918" w:customStyle="1">
    <w:name w:val="WW8Num2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styleId="919" w:customStyle="1">
    <w:name w:val="WW8Num3z0"/>
    <w:pPr>
      <w:pBdr/>
      <w:spacing/>
      <w:ind/>
    </w:pPr>
    <w:rPr>
      <w:b/>
      <w:bCs/>
      <w:i w:val="0"/>
      <w:iCs w:val="0"/>
    </w:rPr>
  </w:style>
  <w:style w:type="character" w:styleId="920" w:customStyle="1">
    <w:name w:val="WW8Num6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21" w:customStyle="1">
    <w:name w:val="WW8Num7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922" w:customStyle="1">
    <w:name w:val="WW8Num8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23" w:customStyle="1">
    <w:name w:val="Основной шрифт абзаца1"/>
    <w:pPr>
      <w:pBdr/>
      <w:spacing/>
      <w:ind/>
    </w:pPr>
  </w:style>
  <w:style w:type="character" w:styleId="924" w:customStyle="1">
    <w:name w:val="Основной текст 2 Знак"/>
    <w:pPr>
      <w:pBdr/>
      <w:spacing/>
      <w:ind/>
    </w:pPr>
    <w:rPr>
      <w:sz w:val="24"/>
      <w:szCs w:val="24"/>
      <w:lang w:val="ru-RU" w:bidi="ar-SA"/>
    </w:rPr>
  </w:style>
  <w:style w:type="character" w:styleId="925" w:customStyle="1">
    <w:name w:val="Основной текст с отступом 3 Знак"/>
    <w:pPr>
      <w:pBdr/>
      <w:spacing/>
      <w:ind/>
    </w:pPr>
    <w:rPr>
      <w:sz w:val="16"/>
      <w:szCs w:val="16"/>
      <w:lang w:val="ru-RU" w:bidi="ar-SA"/>
    </w:rPr>
  </w:style>
  <w:style w:type="character" w:styleId="926" w:customStyle="1">
    <w:name w:val="Название Знак"/>
    <w:pPr>
      <w:pBdr/>
      <w:spacing/>
      <w:ind/>
    </w:pPr>
    <w:rPr>
      <w:b/>
      <w:bCs/>
      <w:sz w:val="28"/>
      <w:szCs w:val="28"/>
      <w:lang w:val="ru-RU" w:bidi="ar-SA"/>
    </w:rPr>
  </w:style>
  <w:style w:type="character" w:styleId="927" w:customStyle="1">
    <w:name w:val="Знак примечания1"/>
    <w:pPr>
      <w:pBdr/>
      <w:spacing/>
      <w:ind/>
    </w:pPr>
    <w:rPr>
      <w:sz w:val="16"/>
      <w:szCs w:val="16"/>
    </w:rPr>
  </w:style>
  <w:style w:type="character" w:styleId="928" w:customStyle="1">
    <w:name w:val="Текст примечания Знак"/>
    <w:pPr>
      <w:pBdr/>
      <w:spacing/>
      <w:ind/>
    </w:pPr>
    <w:rPr>
      <w:color w:val="000000"/>
    </w:rPr>
  </w:style>
  <w:style w:type="character" w:styleId="929" w:customStyle="1">
    <w:name w:val="Тема примечания Знак"/>
    <w:pPr>
      <w:pBdr/>
      <w:spacing/>
      <w:ind/>
    </w:pPr>
    <w:rPr>
      <w:b/>
      <w:bCs/>
      <w:color w:val="000000"/>
    </w:rPr>
  </w:style>
  <w:style w:type="character" w:styleId="930" w:customStyle="1">
    <w:name w:val="Текст выноски Знак"/>
    <w:pPr>
      <w:pBdr/>
      <w:spacing/>
      <w:ind/>
    </w:pPr>
    <w:rPr>
      <w:rFonts w:ascii="Segoe UI" w:hAnsi="Segoe UI" w:cs="Segoe UI"/>
      <w:color w:val="000000"/>
      <w:sz w:val="18"/>
      <w:szCs w:val="18"/>
    </w:rPr>
  </w:style>
  <w:style w:type="character" w:styleId="931" w:customStyle="1">
    <w:name w:val="Основной текст 3 Знак"/>
    <w:pPr>
      <w:pBdr/>
      <w:spacing/>
      <w:ind/>
    </w:pPr>
    <w:rPr>
      <w:color w:val="000000"/>
      <w:sz w:val="16"/>
      <w:szCs w:val="16"/>
    </w:rPr>
  </w:style>
  <w:style w:type="character" w:styleId="932" w:customStyle="1">
    <w:name w:val="Основной текст с отступом Знак"/>
    <w:pPr>
      <w:pBdr/>
      <w:spacing/>
      <w:ind/>
    </w:pPr>
    <w:rPr>
      <w:sz w:val="24"/>
      <w:szCs w:val="24"/>
    </w:rPr>
  </w:style>
  <w:style w:type="character" w:styleId="933" w:customStyle="1">
    <w:name w:val="Основной текст_"/>
    <w:pPr>
      <w:pBdr/>
      <w:spacing/>
      <w:ind/>
    </w:pPr>
    <w:rPr>
      <w:shd w:val="clear" w:color="auto" w:fill="ffffff"/>
    </w:rPr>
  </w:style>
  <w:style w:type="character" w:styleId="934" w:customStyle="1">
    <w:name w:val="Основной текст +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35" w:customStyle="1">
    <w:name w:val="Основной текст (2) + Не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36" w:customStyle="1">
    <w:name w:val="Верх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37" w:customStyle="1">
    <w:name w:val="Ниж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38" w:customStyle="1">
    <w:name w:val="Текст сноски Знак"/>
    <w:pPr>
      <w:pBdr/>
      <w:spacing/>
      <w:ind/>
    </w:pPr>
    <w:rPr>
      <w:color w:val="000000"/>
    </w:rPr>
  </w:style>
  <w:style w:type="character" w:styleId="939" w:customStyle="1">
    <w:name w:val="Символ сноски"/>
    <w:pPr>
      <w:pBdr/>
      <w:spacing/>
      <w:ind/>
    </w:pPr>
    <w:rPr>
      <w:vertAlign w:val="superscript"/>
    </w:rPr>
  </w:style>
  <w:style w:type="character" w:styleId="940">
    <w:name w:val="line number"/>
    <w:pPr>
      <w:pBdr/>
      <w:spacing/>
      <w:ind/>
    </w:pPr>
  </w:style>
  <w:style w:type="character" w:styleId="941" w:customStyle="1">
    <w:name w:val="Символ концевой сноски"/>
    <w:pPr>
      <w:pBdr/>
      <w:spacing/>
      <w:ind/>
    </w:pPr>
  </w:style>
  <w:style w:type="paragraph" w:styleId="942">
    <w:name w:val="Body Text"/>
    <w:basedOn w:val="728"/>
    <w:pPr>
      <w:pBdr/>
      <w:spacing w:after="140" w:line="276" w:lineRule="auto"/>
      <w:ind/>
    </w:pPr>
  </w:style>
  <w:style w:type="paragraph" w:styleId="943">
    <w:name w:val="List"/>
    <w:basedOn w:val="942"/>
    <w:pPr>
      <w:pBdr/>
      <w:spacing/>
      <w:ind/>
    </w:pPr>
    <w:rPr>
      <w:rFonts w:cs="Lucida Sans"/>
    </w:rPr>
  </w:style>
  <w:style w:type="paragraph" w:styleId="944" w:customStyle="1">
    <w:name w:val="Указатель1"/>
    <w:basedOn w:val="728"/>
    <w:pPr>
      <w:suppressLineNumbers w:val="true"/>
      <w:pBdr/>
      <w:spacing/>
      <w:ind/>
    </w:pPr>
    <w:rPr>
      <w:rFonts w:cs="Lucida Sans"/>
      <w:lang w:val="en-US" w:eastAsia="en-US" w:bidi="en-US"/>
    </w:rPr>
  </w:style>
  <w:style w:type="paragraph" w:styleId="945" w:customStyle="1">
    <w:name w:val="Основной текст 21"/>
    <w:basedOn w:val="728"/>
    <w:pPr>
      <w:pBdr/>
      <w:spacing w:after="120" w:line="480" w:lineRule="auto"/>
      <w:ind/>
    </w:pPr>
  </w:style>
  <w:style w:type="paragraph" w:styleId="946" w:customStyle="1">
    <w:name w:val="Основной текст с отступом 31"/>
    <w:basedOn w:val="728"/>
    <w:pPr>
      <w:pBdr/>
      <w:spacing w:after="120"/>
      <w:ind w:left="283"/>
    </w:pPr>
    <w:rPr>
      <w:sz w:val="16"/>
      <w:szCs w:val="16"/>
    </w:rPr>
  </w:style>
  <w:style w:type="paragraph" w:styleId="947">
    <w:name w:val="Body Text 2"/>
    <w:basedOn w:val="728"/>
    <w:pPr>
      <w:pBdr/>
      <w:spacing/>
      <w:ind w:firstLine="567"/>
      <w:jc w:val="both"/>
    </w:pPr>
    <w:rPr>
      <w:sz w:val="22"/>
      <w:szCs w:val="20"/>
    </w:rPr>
  </w:style>
  <w:style w:type="paragraph" w:styleId="948" w:customStyle="1">
    <w:name w:val="Текст примечания1"/>
    <w:basedOn w:val="728"/>
    <w:pPr>
      <w:pBdr/>
      <w:spacing/>
      <w:ind/>
    </w:pPr>
    <w:rPr>
      <w:sz w:val="20"/>
      <w:szCs w:val="20"/>
    </w:rPr>
  </w:style>
  <w:style w:type="paragraph" w:styleId="949">
    <w:name w:val="annotation subject"/>
    <w:basedOn w:val="948"/>
    <w:next w:val="948"/>
    <w:pPr>
      <w:pBdr/>
      <w:spacing/>
      <w:ind/>
    </w:pPr>
    <w:rPr>
      <w:b/>
      <w:bCs/>
    </w:rPr>
  </w:style>
  <w:style w:type="paragraph" w:styleId="950">
    <w:name w:val="Balloon Text"/>
    <w:basedOn w:val="728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51" w:customStyle="1">
    <w:name w:val="Основной текст 31"/>
    <w:basedOn w:val="728"/>
    <w:pPr>
      <w:pBdr/>
      <w:spacing w:after="120"/>
      <w:ind/>
    </w:pPr>
    <w:rPr>
      <w:sz w:val="16"/>
      <w:szCs w:val="16"/>
    </w:rPr>
  </w:style>
  <w:style w:type="paragraph" w:styleId="952">
    <w:name w:val="Body Text Indent"/>
    <w:basedOn w:val="728"/>
    <w:pPr>
      <w:pBdr/>
      <w:spacing/>
      <w:ind w:right="-57" w:firstLine="720"/>
      <w:jc w:val="both"/>
    </w:pPr>
  </w:style>
  <w:style w:type="paragraph" w:styleId="953" w:customStyle="1">
    <w:name w:val="Основной текст2"/>
    <w:basedOn w:val="728"/>
    <w:pPr>
      <w:widowControl w:val="false"/>
      <w:pBdr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954">
    <w:name w:val="Revision"/>
    <w:pPr>
      <w:pBdr/>
      <w:spacing/>
      <w:ind/>
    </w:pPr>
    <w:rPr>
      <w:rFonts w:ascii="NTTimes/Cyrillic" w:hAnsi="NTTimes/Cyrillic" w:cs="NTTimes/Cyrillic"/>
      <w:sz w:val="24"/>
      <w:szCs w:val="24"/>
      <w:lang w:val="en-US" w:eastAsia="zh-CN"/>
    </w:rPr>
  </w:style>
  <w:style w:type="paragraph" w:styleId="955" w:customStyle="1">
    <w:name w:val="Колонтитул"/>
    <w:basedOn w:val="728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56" w:customStyle="1">
    <w:name w:val="Содержимое таблицы"/>
    <w:basedOn w:val="728"/>
    <w:pPr>
      <w:widowControl w:val="false"/>
      <w:suppressLineNumbers w:val="true"/>
      <w:pBdr/>
      <w:spacing/>
      <w:ind/>
    </w:pPr>
  </w:style>
  <w:style w:type="paragraph" w:styleId="957" w:customStyle="1">
    <w:name w:val="Заголовок таблицы"/>
    <w:basedOn w:val="956"/>
    <w:pPr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revision>22</cp:revision>
  <dcterms:created xsi:type="dcterms:W3CDTF">2022-09-20T15:02:00Z</dcterms:created>
  <dcterms:modified xsi:type="dcterms:W3CDTF">2025-04-23T12:57:46Z</dcterms:modified>
  <cp:version>1048576</cp:version>
</cp:coreProperties>
</file>