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13D1EEEA" w:rsidR="0067092C" w:rsidRPr="00D55B6E" w:rsidRDefault="00D55B6E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52275322"/>
      <w:bookmarkStart w:id="1" w:name="_Hlk185535945"/>
      <w:bookmarkStart w:id="2" w:name="_Hlk117524333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Корякиным Максимом Александровичем </w:t>
      </w:r>
      <w:bookmarkEnd w:id="1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рождения 26.02.1993 г.р.; место рождения: гор. Обнинск Калужской обл., адрес регистрации: 249034, Калужская обл., гор. Обнинск, пр-кт Ленина, д. 224, кв. 84, ИНН 402572306505, СНИЛС 155-374-939 94), </w:t>
      </w:r>
      <w:bookmarkStart w:id="3" w:name="_Hlk117521230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Калужской области от 22.08.2024 г. по делу № А23-6290/2024 </w:t>
      </w:r>
      <w:bookmarkEnd w:id="3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признанный несостоятельным (банкротом), с введением процедуры реализации имущества гражданина, 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Финансового управляющего </w:t>
      </w:r>
      <w:bookmarkStart w:id="4" w:name="_Hlk48664446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Тень Светланы Михайловны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290127830735, СНИЛС 130-353-062 01), адрес для корреспонденции: 248000, г. Калуга, а/я 49, рег. номер 21029), член Ассоциации СРО "ЦААУ" - Ассоциация арбитражных управляющих саморегулируемая организация "Центральное агентство арбитражных управляющих"  (ОГРН 1107799028523, ИНН 7731024000), адрес: 119017, г. Москва, переулок 1-й Казачий, дом 8, строение 1, офис 2) действующей на основании Решения </w:t>
      </w:r>
      <w:bookmarkStart w:id="5" w:name="_Hlk53657193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Калужской области от 22.08.2024 г. по делу № </w:t>
      </w:r>
      <w:bookmarkEnd w:id="2"/>
      <w:bookmarkEnd w:id="4"/>
      <w:bookmarkEnd w:id="5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А23-6290/2024 (далее – Финансовый Управляющий, ФУ)</w:t>
      </w:r>
      <w:r w:rsidR="00480B7C"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D55B6E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D55B6E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>1</w:t>
      </w:r>
      <w:r w:rsidR="00DF4163" w:rsidRPr="00DF4163">
        <w:rPr>
          <w:rFonts w:ascii="Times New Roman" w:hAnsi="Times New Roman" w:cs="Times New Roman"/>
          <w:b/>
          <w:sz w:val="24"/>
          <w:szCs w:val="24"/>
        </w:rPr>
        <w:t>6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>.0</w:t>
      </w:r>
      <w:r w:rsidR="00DF4163" w:rsidRPr="00DF4163">
        <w:rPr>
          <w:rFonts w:ascii="Times New Roman" w:hAnsi="Times New Roman" w:cs="Times New Roman"/>
          <w:b/>
          <w:sz w:val="24"/>
          <w:szCs w:val="24"/>
        </w:rPr>
        <w:t>5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 17 час. 00 мин. (мск).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7AD1DB6F" w:rsidR="0067092C" w:rsidRPr="00D55B6E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D55B6E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1 260</w:t>
      </w:r>
      <w:r w:rsid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D55B6E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000</w:t>
      </w:r>
      <w:r w:rsid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,00</w:t>
      </w:r>
      <w:r w:rsidR="002C4F6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6" w:name="_Hlk185610597"/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6"/>
    </w:p>
    <w:p w14:paraId="4FD84701" w14:textId="05F041C2" w:rsidR="007E42E7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D55B6E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907 200,00</w:t>
      </w:r>
      <w:r w:rsidR="00F34740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06D52A2" w14:textId="77777777" w:rsidR="00D55B6E" w:rsidRPr="00D55B6E" w:rsidRDefault="00836CC4" w:rsidP="00D55B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7" w:name="_Hlk102040278"/>
      <w:bookmarkStart w:id="8" w:name="_Hlk103768758"/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7"/>
      <w:bookmarkEnd w:id="8"/>
      <w:r w:rsidR="00D55B6E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r w:rsidR="00D55B6E"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седан, марки Mercedes-Benz E 300, 2010 года выпуска, цвет: красно-коричневый, № шасси (рамы): отсутствует, модель, номер двигателя: 27295231760974, рабочий объем: 2996 куб. см., мощность (кВт/л.с.): 170.000/231.0, VIN: WDD2120541A385027 (автомобиль в исправном состоянии, пробег - 188 500 км.). </w:t>
      </w:r>
      <w:r w:rsidR="00D55B6E" w:rsidRPr="00D55B6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 местонахождения Имущества: Калужская область, город Обнинск, ул. Слободская, д. 45.</w:t>
      </w:r>
    </w:p>
    <w:p w14:paraId="13F9604A" w14:textId="33F2568A" w:rsidR="00201148" w:rsidRPr="00D55B6E" w:rsidRDefault="00D55B6E" w:rsidP="00D5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 w:rsidR="002132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тел. 8(936)511-01-34 и по </w:t>
      </w:r>
      <w:r w:rsidRPr="00D55B6E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55B6E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4" w:history="1"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kartavov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auction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house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рабочие дни с 10:00 до 17:00. 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Ознакомление с Имуществом производится по месту нахождения Имущества, по предварительной записи в рабочие дни с 10:00 до 16:00, контакты: ++7 (910)590-00-60 (Максим Александрович), и по e-mail: </w:t>
      </w:r>
      <w:hyperlink r:id="rId5" w:history="1"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tencvetlana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6@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b/>
          <w:bCs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D55B6E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D55B6E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</w:t>
      </w:r>
      <w:r w:rsidRPr="00D55B6E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5D035E97" w14:textId="0E7B50C6" w:rsidR="0029021B" w:rsidRPr="00D55B6E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5B6E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D55B6E">
        <w:rPr>
          <w:rFonts w:ascii="Times New Roman" w:hAnsi="Times New Roman" w:cs="Times New Roman"/>
          <w:sz w:val="24"/>
          <w:szCs w:val="24"/>
        </w:rPr>
        <w:t>Ф</w:t>
      </w:r>
      <w:r w:rsidRPr="00D55B6E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D55B6E">
        <w:rPr>
          <w:rFonts w:ascii="Times New Roman" w:hAnsi="Times New Roman" w:cs="Times New Roman"/>
          <w:sz w:val="24"/>
          <w:szCs w:val="24"/>
        </w:rPr>
        <w:t xml:space="preserve">: </w:t>
      </w:r>
      <w:r w:rsidR="00D55B6E" w:rsidRPr="00D55B6E">
        <w:rPr>
          <w:rFonts w:ascii="Times New Roman" w:hAnsi="Times New Roman" w:cs="Times New Roman"/>
          <w:b/>
          <w:bCs/>
          <w:sz w:val="24"/>
          <w:szCs w:val="24"/>
        </w:rPr>
        <w:t>получатель Корякин Максим Александрович ИНН 402572306505, р/с: 40817810350182416368, Банк получателя: ФИЛИАЛ "ЦЕНТРАЛЬНЫЙ" ПАО "СОВКОМБАНК" (БЕРДСК), БИК банка получателя: 045004763, кор/счет банка получателя: 30101810150040000763, ИНН банка получателя: 4401116480</w:t>
      </w:r>
      <w:r w:rsidR="00673FDF" w:rsidRPr="00D55B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3FDF" w:rsidRPr="00D55B6E">
        <w:rPr>
          <w:rFonts w:ascii="Times New Roman" w:hAnsi="Times New Roman" w:cs="Times New Roman"/>
          <w:sz w:val="24"/>
          <w:szCs w:val="24"/>
        </w:rPr>
        <w:t>открытый</w:t>
      </w:r>
      <w:r w:rsidR="0029021B" w:rsidRPr="00D55B6E">
        <w:rPr>
          <w:rFonts w:ascii="Times New Roman" w:eastAsia="Calibri" w:hAnsi="Times New Roman" w:cs="Times New Roman"/>
          <w:bCs/>
          <w:sz w:val="24"/>
          <w:szCs w:val="24"/>
        </w:rPr>
        <w:t xml:space="preserve">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56626A1D" w14:textId="77777777" w:rsidR="00BF2CDF" w:rsidRPr="00D55B6E" w:rsidRDefault="00BF2CDF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4CC964EA" w:rsidR="00770F12" w:rsidRPr="00D55B6E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E9EC" w14:textId="6550BAD8" w:rsidR="00532405" w:rsidRPr="00D55B6E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D55B6E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10FD"/>
    <w:rsid w:val="000E6765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32D5"/>
    <w:rsid w:val="00216A23"/>
    <w:rsid w:val="002625BE"/>
    <w:rsid w:val="0027640C"/>
    <w:rsid w:val="00280E48"/>
    <w:rsid w:val="0029021B"/>
    <w:rsid w:val="00293BAC"/>
    <w:rsid w:val="002974A7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73DC3"/>
    <w:rsid w:val="003749B4"/>
    <w:rsid w:val="003757C6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82D6B"/>
    <w:rsid w:val="00592177"/>
    <w:rsid w:val="00594083"/>
    <w:rsid w:val="005950F5"/>
    <w:rsid w:val="005B4FA1"/>
    <w:rsid w:val="005E6D21"/>
    <w:rsid w:val="005F07DD"/>
    <w:rsid w:val="005F1976"/>
    <w:rsid w:val="005F2557"/>
    <w:rsid w:val="005F472F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90E73"/>
    <w:rsid w:val="008A6858"/>
    <w:rsid w:val="008C4FD9"/>
    <w:rsid w:val="008C5C3E"/>
    <w:rsid w:val="008D2309"/>
    <w:rsid w:val="008F499F"/>
    <w:rsid w:val="008F520D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5732C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C7B94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E76A2"/>
    <w:rsid w:val="00BF2CDF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55B6E"/>
    <w:rsid w:val="00D81BC5"/>
    <w:rsid w:val="00D90EC7"/>
    <w:rsid w:val="00D9528D"/>
    <w:rsid w:val="00D9791F"/>
    <w:rsid w:val="00DA4F5B"/>
    <w:rsid w:val="00DD5CFE"/>
    <w:rsid w:val="00DE3B0B"/>
    <w:rsid w:val="00DF4163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cvetlana6@yandex.ru" TargetMode="Externa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11</cp:revision>
  <cp:lastPrinted>2020-10-15T14:55:00Z</cp:lastPrinted>
  <dcterms:created xsi:type="dcterms:W3CDTF">2024-07-01T15:16:00Z</dcterms:created>
  <dcterms:modified xsi:type="dcterms:W3CDTF">2025-05-07T11:14:00Z</dcterms:modified>
</cp:coreProperties>
</file>