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0" w:type="auto"/>
        <w:tblLayout w:type="fixed"/>
        <w:tblLook w:val="04A0"/>
      </w:tblPr>
      <w:tblGrid>
        <w:gridCol w:w="945"/>
        <w:gridCol w:w="945"/>
        <w:gridCol w:w="945"/>
        <w:gridCol w:w="945"/>
        <w:gridCol w:w="945"/>
        <w:gridCol w:w="945"/>
        <w:gridCol w:w="945"/>
        <w:gridCol w:w="945"/>
        <w:gridCol w:w="945"/>
        <w:gridCol w:w="945"/>
        <w:gridCol w:w="945"/>
      </w:tblGrid>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ДОГОВОР</w:t>
            </w:r>
          </w:p>
        </w:tc>
      </w:tr>
      <w:tr>
        <w:trPr>
          <w:trHeight w:val="265"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купли-продажи</w:t>
            </w:r>
          </w:p>
        </w:tc>
      </w:tr>
      <w:tr>
        <w:trPr>
          <w:trHeight w:val="265" w:hRule="atLeast"/>
        </w:trPr>
        <w:tc>
          <w:tcPr>
            <w:tcW w:w="9450" w:type="dxa"/>
            <w:gridSpan w:val="10"/>
            <w:shd w:val="clear" w:color="FFFFFF" w:fill="auto"/>
            <w:textDirection w:val="lrTb"/>
            <w:vAlign w:val="top"/>
          </w:tcPr>
          <w:p>
            <w:pPr>
              <w:wordWrap w:val="1"/>
              <w:jc w:val="both"/>
            </w:pPr>
            <w:r>
              <w:rPr>
                <w:rFonts w:ascii="Times New Roman" w:hAnsi="Times New Roman"/>
                <w:sz w:val="20"/>
                <w:szCs w:val="20"/>
              </w:rPr>
              <w:t>11.06.2025</w:t>
            </w:r>
          </w:p>
        </w:tc>
        <w:tc>
          <w:tcPr>
            <w:tcW w:w="945" w:type="dxa"/>
            <w:shd w:val="clear" w:color="FFFFFF" w:fill="auto"/>
            <w:textDirection w:val="lrTb"/>
            <w:vAlign w:val="bottom"/>
          </w:tcPr>
          <w:p>
            <w:pPr>
              <w:wordWrap w:val="1"/>
              <w:jc w:val="center"/>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Мы, нижеподписавшиеся: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Башина Татьяна Григорьевна (Мутовкина Татьяна Григорьевна) (20.09.1989г.р., место рожд: г. Астрахань, адрес рег:  Астраханская обл, Астрахань г, Генерала Епишева ул,  1/ 1- 1, СНИЛС14105921925, ИНН 301812454897, паспорт РФ серия 1217, номер 719937, выдан 14.03.2018, кем выдан УМВД России по Астраханской области , код подразделения 300-003), в лице Гражданина РФ Финансового управляющего Отеговой Александры Павловны (ИНН 745011560897, СНИЛС 13801746449, рег.номер 23125), действующего на основании решения Арбитражного суда Астраханской области от 04.02.2025г. по делу №А06-11942/2024, именуемый в дальнейшем «Продавец», с одной стороны, и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	Предмет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1.1.  В соответствии с Протоколом №  от 24.07.2025г. по продаже имущества Башиной Татьяны Григорьевны, размещенным на торговой площадке  АО "РАД" (https://lot-online.ru/)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Ленд Ровер, модель: Эвок, VIN: SALVA1BD6CH647834, гос. рег. номер: У808НС30, год изготовления: 2012 (далее - Имущество).</w:t>
            </w:r>
          </w:p>
        </w:tc>
      </w:tr>
      <w:tr>
        <w:trPr>
          <w:trHeight w:val="60" w:hRule="atLeast"/>
        </w:trPr>
        <w:tc>
          <w:tcPr>
            <w:tcW w:w="10395" w:type="dxa"/>
            <w:gridSpan w:val="11"/>
            <w:shd w:val="clear" w:color="FFFFFF" w:fill="FFFFFF"/>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1.2. Имущество принадлежит  Продавцу на праве собственности на основании Паспорта транспортного средства , Свидетельства о регистрации ТС .</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1.3. На момент составления Договора купли-продажи на вышеуказанном имуществе обременения/ограничения отсутствуют.</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1.4. Имущество обеспечено обременением в виде залога в пользу АО "ЭКСПОБАНК" (ИНН 7708397772).</w:t>
              <w:br/>
              <w:t>
   Продажа имущества на торгах приводит к прекращению права залога (ипотеки) - пп. 4 п. 1 ст. 352 ГК РФ и абз. 6 п. 5 ст. 18.1 ФЗ «О несостоятельности (банкротстве)» от 26.10.2002 г. № 127-ФЗ.</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2. Обязанности Сторон</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 Продавец обязуется:</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2.1.1. Передать Покупателю Имущество по акту приема-передачи.</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2.2. Покупатель обязан:</w:t>
            </w:r>
          </w:p>
        </w:tc>
      </w:tr>
      <w:tr>
        <w:trPr>
          <w:trHeight w:val="28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               2.2.1. Оплатить полную стоимость имущества в соответствии с настоящим договором.</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3. Цена и порядок расчетов</w:t>
            </w:r>
          </w:p>
        </w:tc>
      </w:tr>
      <w:tr>
        <w:trPr/>
        <w:tc>
          <w:tcPr>
            <w:tcW w:w="10395" w:type="dxa"/>
            <w:gridSpan w:val="11"/>
            <w:shd w:val="clear" w:color="FFFFFF" w:fill="auto"/>
            <w:textDirection w:val="lrTb"/>
            <w:vAlign w:val="bottom"/>
          </w:tcPr>
          <w:p>
            <w:pPr>
              <w:wordWrap w:val="1"/>
              <w:jc w:val="left"/>
            </w:pPr>
            <w:r>
              <w:rPr>
                <w:rFonts w:ascii="Times New Roman" w:hAnsi="Times New Roman"/>
                <w:sz w:val="20"/>
                <w:szCs w:val="20"/>
              </w:rPr>
              <w:t>                3.1. Стоимость имущества составляет:</w:t>
            </w:r>
          </w:p>
        </w:tc>
      </w:tr>
      <w:tr>
        <w:trPr/>
        <w:tc>
          <w:tcPr>
            <w:tcW w:w="10395" w:type="dxa"/>
            <w:gridSpan w:val="11"/>
            <w:shd w:val="clear" w:color="FFFFFF" w:fill="auto"/>
            <w:textDirection w:val="lrTb"/>
            <w:vAlign w:val="bottom"/>
          </w:tcPr>
          <w:p>
            <w:pPr>
              <w:wordWrap w:val="1"/>
              <w:jc w:val="both"/>
            </w:pPr>
            <w:r>
              <w:rPr>
                <w:rFonts w:ascii="Times New Roman" w:hAnsi="Times New Roman"/>
                <w:sz w:val="20"/>
                <w:szCs w:val="20"/>
              </w:rPr>
              <w:t>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24.07.2025г. на сайте https://lot-online.ru/, является окончательной и изменению не подлежит.</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3.3. Оплата стоимости имущества по настоящему договору осуществляется Покупателем безналичным платежом на расчетный счет:</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Башиной Татьяны Григорьевны 40817810350201700492, ИНН должника: 301812454897</w:t>
            </w:r>
          </w:p>
        </w:tc>
      </w:tr>
      <w:tr>
        <w:trPr>
          <w:trHeight w:val="60" w:hRule="atLeast"/>
        </w:trPr>
        <w:tc>
          <w:tcPr>
            <w:tcW w:w="10395" w:type="dxa"/>
            <w:gridSpan w:val="11"/>
            <w:shd w:val="clear" w:color="FFFFFF" w:fill="auto"/>
            <w:textDirection w:val="lrTb"/>
            <w:vAlign w:val="bottom"/>
          </w:tcPr>
          <w:p>
            <w:pPr>
              <w:wordWrap w:val="1"/>
              <w:jc w:val="left"/>
            </w:pPr>
            <w:r>
              <w:rPr>
                <w:rFonts w:ascii="Times New Roman" w:hAnsi="Times New Roman"/>
                <w:sz w:val="20"/>
                <w:szCs w:val="20"/>
              </w:rPr>
              <w:t>в течение тридцати дней с даты подписания настоящего договора.</w:t>
            </w: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ВНИМАНИЕ! В НАЗНАЧЕНИЕ ПЛАТЕЖА ПРИ ПЕРЕВОДЕ ОСНОВНОЙ СУММЫ ПО ТОРГАМ УКАЗЫВАЕТСЯ: "ФИО ДОЛЖНИКА, оплата по дкп от ... г. по имуществу ...»</w:t>
            </w:r>
          </w:p>
        </w:tc>
      </w:tr>
      <w:tr>
        <w:trPr>
          <w:trHeight w:val="60" w:hRule="atLeast"/>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r>
      <w:tr>
        <w:trPr>
          <w:trHeight w:val="6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6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4. Передача имущества и переход риска случайной гибели имущества</w:t>
            </w:r>
          </w:p>
        </w:tc>
      </w:tr>
      <w:tr>
        <w:trPr>
          <w:trHeight w:val="93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5. Возникновение права собственности</w:t>
            </w:r>
          </w:p>
        </w:tc>
      </w:tr>
      <w:tr>
        <w:trPr>
          <w:trHeight w:val="12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5.1. Право собственности Имуществом возникает у Покупателя с момента подписания акта приема-передачи Имуществом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Имущества. Имущество передано в надлежащем качественном состоянии.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6. Ответственность Сторон</w:t>
            </w:r>
          </w:p>
        </w:tc>
      </w:tr>
      <w:tr>
        <w:trPr>
          <w:trHeight w:val="51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3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10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6.4 Стороны договорились, что договор и все документы, связанные с ним (акты, дополнительные соглашения, отчеты, претензии и т.д.), могут направляться в электронном виде по электронной почте. Направление договора и любого документа, связанного с указанным договором, по электронной почте приравнивается к простой электронной подписи и равнозначно собственноручной подписи.</w:t>
              <w:br/>
              <w:t>
</w:t>
            </w:r>
          </w:p>
        </w:tc>
      </w:tr>
      <w:tr>
        <w:trPr>
          <w:trHeight w:val="85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6.5 Стороны договорились, что в соответствии с пунктом 2 статьи 160 Гражданского кодекса Российской Федерации допускается использование при совершении данной сделки факсимильного воспроизведения подписи с помощью средств механического или иного копирования, электронной подписи либо иного аналога собственноручной подписи.</w:t>
              <w:br/>
              <w:t>
</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7. Порядок разрешения споров</w:t>
            </w:r>
          </w:p>
        </w:tc>
      </w:tr>
      <w:tr>
        <w:trPr>
          <w:trHeight w:val="54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8. Условия изменения и расторжения договора</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77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8.2.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  (п. 4 ст. 486 Гражданского Кодекса Российской Федерации).</w:t>
              <w:br/>
              <w:t>
</w:t>
            </w:r>
          </w:p>
        </w:tc>
      </w:tr>
      <w:tr>
        <w:trPr>
          <w:trHeight w:val="102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8.3. Право на односторонний отказ от договора (исполнения договора) (статья 310 Гражданского Кодекса Российской Федерации) может быть осуществлено управомоченной стороной путем уведомления другой стороны об отказе от договора (исполнения договора). Договор прекращается с момента получения данного уведомления, если иное не предусмотрено настоящим Кодексом, другими законами, иными правовыми актами или договором.</w:t>
              <w:br/>
              <w:t>
</w:t>
            </w:r>
          </w:p>
        </w:tc>
      </w:tr>
      <w:tr>
        <w:trPr>
          <w:trHeight w:val="78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В случае одностороннего отказа от договора (исполнения договора) полностью или частично, если такой отказ допускается, договор считается расторгнутым или измененным. (пп. 1, 2 Статья 450.1. Гражданского Кодекса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9. Заключительные положения</w:t>
            </w:r>
          </w:p>
        </w:tc>
      </w:tr>
      <w:tr>
        <w:trPr>
          <w:trHeight w:val="59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9.2. Сторонами договора рассмотрены все документы, подготовленные в связи с продажей имущества.</w:t>
            </w:r>
          </w:p>
        </w:tc>
      </w:tr>
      <w:tr>
        <w:trPr>
          <w:trHeight w:val="26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9.3. Настоящий Договор составлен в 2-х экземплярах, имеющих одинаковую юридическую силу.</w:t>
            </w:r>
          </w:p>
        </w:tc>
      </w:tr>
      <w:tr>
        <w:trPr>
          <w:trHeight w:val="985" w:hRule="atLeast"/>
        </w:trPr>
        <w:tc>
          <w:tcPr>
            <w:tcW w:w="10395" w:type="dxa"/>
            <w:gridSpan w:val="11"/>
            <w:shd w:val="clear" w:color="FFFFFF" w:fill="auto"/>
            <w:textDirection w:val="lrTb"/>
            <w:vAlign w:val="bottom"/>
          </w:tcPr>
          <w:p>
            <w:pPr>
              <w:wordWrap w:val="1"/>
              <w:jc w:val="both"/>
            </w:pPr>
            <w:r>
              <w:rPr>
                <w:rFonts w:ascii="Times New Roman" w:hAnsi="Times New Roman"/>
                <w:sz w:val="20"/>
                <w:szCs w:val="20"/>
              </w:rPr>
              <w:t>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90" w:hRule="atLeast"/>
        </w:trPr>
        <w:tc>
          <w:tcPr>
            <w:tcW w:w="10395" w:type="dxa"/>
            <w:gridSpan w:val="11"/>
            <w:shd w:val="clear" w:color="FFFFFF" w:fill="auto"/>
            <w:textDirection w:val="lrTb"/>
            <w:vAlign w:val="bottom"/>
          </w:tcPr>
          <w:p>
            <w:pPr>
              <w:wordWrap w:val="1"/>
              <w:jc w:val="center"/>
            </w:pPr>
            <w:r>
              <w:rPr>
                <w:rFonts w:ascii="Times New Roman" w:hAnsi="Times New Roman"/>
                <w:b/>
                <w:sz w:val="20"/>
                <w:szCs w:val="20"/>
              </w:rPr>
              <w:t>10. Реквизиты и подписи Сторон</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Покупатель:</w:t>
            </w:r>
          </w:p>
        </w:tc>
      </w:tr>
      <w:tr>
        <w:trPr>
          <w:trHeight w:val="290" w:hRule="atLeast"/>
        </w:trPr>
        <w:tc>
          <w:tcPr>
            <w:tcW w:w="4725" w:type="dxa"/>
            <w:gridSpan w:val="5"/>
            <w:shd w:val="clear" w:color="FFFFFF" w:fill="auto"/>
            <w:textDirection w:val="lrTb"/>
            <w:vAlign w:val="bottom"/>
          </w:tcPr>
          <w:p>
            <w:pPr>
              <w:wordWrap w:val="1"/>
              <w:jc w:val="cente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pPr>
            <w:r>
              <w:rPr>
                <w:rFonts w:ascii="Times New Roman" w:hAnsi="Times New Roman"/>
                <w:b/>
                <w:sz w:val="20"/>
                <w:szCs w:val="20"/>
              </w:rPr>
              <w:t>Гражданин РФ</w:t>
            </w: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Башина Татьяна Григорьевна (Мутовкина Татьяна Григорьевна) (20.09.1989г.р., место рожд: г. Астрахань, адрес рег:  Астраханская обл, Астрахань г, Генерала Епишева ул,  1/ 1- 1, СНИЛС14105921925, ИНН 301812454897, паспорт РФ серия 1217, номер 719937, выдан 14.03.2018, кем выдан УМВД России по Астраханской области , код подразделения 300-003)</w:t>
            </w:r>
          </w:p>
        </w:tc>
        <w:tc>
          <w:tcPr>
            <w:tcW w:w="5670" w:type="dxa"/>
            <w:vMerge w:val="restart"/>
            <w:gridSpan w:val="6"/>
            <w:shd w:val="clear" w:color="FFFFFF" w:fill="auto"/>
            <w:textDirection w:val="lrTb"/>
            <w:vAlign w:val="top"/>
          </w:tcPr>
          <w:p>
            <w:pPr>
              <w:wordWrap w:val="1"/>
              <w:jc w:val="both"/>
            </w:pPr>
            <w:r>
              <w:rPr>
                <w:rFonts w:ascii="Times New Roman" w:hAnsi="Times New Roman"/>
                <w:b/>
                <w:sz w:val="20"/>
                <w:szCs w:val="20"/>
              </w:rPr>
              <w:t> </w:t>
            </w:r>
          </w:p>
        </w:tc>
      </w:tr>
      <w:tr>
        <w:trPr/>
        <w:tc>
          <w:tcPr>
            <w:tcW w:w="2835" w:type="dxa"/>
            <w:gridSpan w:val="3"/>
            <w:shd w:val="clear" w:color="FFFFFF" w:fill="auto"/>
            <w:textDirection w:val="lrTb"/>
            <w:vAlign w:val="bottom"/>
          </w:tcPr>
          <w:p>
            <w:pPr>
              <w:wordWrap w:val="1"/>
              <w:jc w:val="both"/>
            </w:pPr>
            <w:r>
              <w:rPr>
                <w:rFonts w:ascii="Times New Roman" w:hAnsi="Times New Roman"/>
                <w:sz w:val="20"/>
                <w:szCs w:val="20"/>
              </w:rPr>
              <w:t>Реквизиты:</w:t>
            </w: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sz w:val="20"/>
                <w:szCs w:val="20"/>
              </w:rPr>
              <w:t>Наименование банка: ФИЛИАЛ "ЦЕНТРАЛЬНЫЙ" ПАО "СОВКОМБАНК" </w:t>
              <w:br/>
              <w:t>
ИНН 4401116480</w:t>
              <w:br/>
              <w:t>
ОГРН 1144400000425</w:t>
              <w:br/>
              <w:t>
БИК 045004763</w:t>
              <w:br/>
              <w:t>
КПП 440101001</w:t>
              <w:br/>
              <w:t>
к/сч 30101810150040000763</w:t>
              <w:br/>
              <w:t>
счет Башиной Татьяны Григорьевны 40817810350201700492,</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left"/>
            </w:pPr>
            <w:r>
              <w:rPr>
                <w:rFonts w:ascii="Times New Roman" w:hAnsi="Times New Roman"/>
                <w:sz w:val="20"/>
                <w:szCs w:val="20"/>
              </w:rPr>
              <w:t>ИНН должника: 301812454897</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945" w:type="dxa"/>
            <w:shd w:val="clear" w:color="FFFFFF" w:fill="auto"/>
            <w:textDirection w:val="lrTb"/>
            <w:vAlign w:val="bottom"/>
          </w:tcPr>
          <w:p>
            <w:pPr>
              <w:wordWrap w:val="1"/>
              <w:jc w:val="both"/>
            </w:pP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Финансовый управляющий</w:t>
            </w:r>
          </w:p>
        </w:tc>
        <w:tc>
          <w:tcPr>
            <w:tcW w:w="5670" w:type="dxa"/>
            <w:vMerge w:val="continue"/>
            <w:gridSpan w:val="6"/>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Башиной Татьяны Григорьевны</w:t>
            </w: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c>
          <w:tcPr>
            <w:tcW w:w="945" w:type="dxa"/>
            <w:shd w:val="clear" w:color="FFFFFF" w:fill="auto"/>
            <w:textDirection w:val="lrTb"/>
            <w:vAlign w:val="top"/>
          </w:tcPr>
          <w:p>
            <w:pPr>
              <w:wordWrap w:val="1"/>
              <w:jc w:val="both"/>
            </w:pPr>
          </w:p>
        </w:tc>
      </w:tr>
      <w:tr>
        <w:trPr/>
        <w:tc>
          <w:tcPr>
            <w:tcW w:w="4725" w:type="dxa"/>
            <w:gridSpan w:val="5"/>
            <w:shd w:val="clear" w:color="FFFFFF" w:fill="auto"/>
            <w:textDirection w:val="lrTb"/>
            <w:vAlign w:val="bottom"/>
          </w:tcPr>
          <w:p>
            <w:pPr>
              <w:wordWrap w:val="1"/>
              <w:jc w:val="both"/>
            </w:pPr>
            <w:r>
              <w:rPr>
                <w:rFonts w:ascii="Times New Roman" w:hAnsi="Times New Roman"/>
                <w:b/>
                <w:sz w:val="20"/>
                <w:szCs w:val="20"/>
              </w:rPr>
              <w:t>Отегова Александра Павловна</w:t>
            </w:r>
          </w:p>
        </w:tc>
        <w:tc>
          <w:tcPr>
            <w:tcW w:w="5670" w:type="dxa"/>
            <w:gridSpan w:val="6"/>
            <w:shd w:val="clear" w:color="FFFFFF" w:fill="auto"/>
            <w:textDirection w:val="lrTb"/>
            <w:vAlign w:val="bottom"/>
          </w:tcPr>
          <w:p>
            <w:pPr>
              <w:wordWrap w:val="1"/>
              <w:jc w:val="both"/>
            </w:pPr>
            <w:r>
              <w:rPr>
                <w:rFonts w:ascii="Times New Roman" w:hAnsi="Times New Roman"/>
                <w:b/>
                <w:sz w:val="20"/>
                <w:szCs w:val="20"/>
              </w:rPr>
              <w:t> </w:t>
            </w: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web"/>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