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6"/>
        <w:gridCol w:w="946"/>
        <w:gridCol w:w="939"/>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ЛОТ №1 -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8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расходы по межеванию земельного участка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7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91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3</Pages>
  <Words>1057</Words>
  <Characters>7405</Characters>
  <CharactersWithSpaces>8893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2025-07-03T12:06:23Z</dcterms:modified>
  <cp:revision>3</cp:revision>
  <dc:subject/>
  <dc:title/>
</cp:coreProperties>
</file>