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03"/>
        <w:numPr>
          <w:ilvl w:val="0"/>
          <w:numId w:val="0"/>
        </w:numPr>
        <w:spacing w:before="0"/>
      </w:pPr>
      <w:r/>
      <w:r/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ind w:left="0" w:right="2" w:firstLine="0"/>
        <w:jc w:val="center"/>
        <w:spacing w:before="0"/>
        <w:shd w:val="clear" w:color="auto" w:fill="ffffff"/>
        <w:widowControl w:val="off"/>
        <w:tabs>
          <w:tab w:val="left" w:pos="10915" w:leader="underscore"/>
        </w:tabs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ДОГОВОР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contextualSpacing/>
        <w:ind w:left="0" w:right="2" w:firstLine="0"/>
        <w:jc w:val="center"/>
        <w:spacing w:before="0"/>
        <w:shd w:val="clear" w:color="auto" w:fill="ffffff"/>
        <w:widowControl w:val="off"/>
        <w:tabs>
          <w:tab w:val="left" w:pos="10915" w:leader="underscore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купли-продажи недвижимого имущества</w:t>
      </w:r>
      <w:r>
        <w:rPr>
          <w:rFonts w:ascii="Times New Roman" w:hAnsi="Times New Roman" w:cs="Times New Roman"/>
          <w:b/>
          <w:sz w:val="22"/>
          <w:szCs w:val="22"/>
        </w:rPr>
        <w:t xml:space="preserve"> №_____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ind w:firstLine="426"/>
        <w:jc w:val="both"/>
        <w:spacing w:before="0"/>
        <w:shd w:val="clear" w:color="auto" w:fill="ffffff"/>
        <w:widowControl w:val="off"/>
        <w:tabs>
          <w:tab w:val="left" w:pos="6458" w:leader="none"/>
          <w:tab w:val="left" w:pos="7106" w:leader="underscore"/>
          <w:tab w:val="left" w:pos="8726" w:leader="underscor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г. Владивосток                                                                                                    «____» ___________ 2025 г.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кционерное общество «Дальневосточная генерирующая компания»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(АО «ДГК»),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именуемое в дальнейшем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Продавец»,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в лице директора _________________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, действующего на основании _________________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с одной стороны, и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____________________, именуемое в дальнейшем «По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купатель», с другой стороны, по результатам проведенного аукциона, на основании протокола ________________ заключили настоящий Договор о нижеследующем: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shd w:val="clear" w:color="auto" w:fill="ffffff"/>
        <w:widowControl w:val="off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                                                     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       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1.ПРЕДМЕТ ДОГОВОРА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contextualSpacing/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1.1. В соответствии с условиями настоящего Договора Продавец передает в собственность Покупателя Имущественный комплекс теплосетей Восточного района г. Владивостока</w:t>
      </w:r>
      <w:r>
        <w:rPr>
          <w:rFonts w:ascii="Times New Roman" w:hAnsi="Times New Roman" w:eastAsia="Times New Roman" w:cs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eastAsia="ar-SA"/>
        </w:rPr>
        <w:t xml:space="preserve"> (</w:t>
      </w:r>
      <w:r>
        <w:rPr>
          <w:rFonts w:ascii="Times New Roman" w:hAnsi="Times New Roman" w:eastAsia="Times New Roman" w:cs="Times New Roman"/>
          <w:sz w:val="22"/>
          <w:szCs w:val="22"/>
          <w:lang w:eastAsia="ar-SA"/>
        </w:rPr>
        <w:t xml:space="preserve">далее – Имущество).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contextualSpacing/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Состав, краткая характеристика, стоимость и данные о регистрации права на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недвижимое имущество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указаны в Приложении №1 «Перечень недвижимого имущества АО «ДГК», являющемся неотъемлемой частью настоящего Договора.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contextualSpacing/>
        <w:ind w:firstLine="426"/>
        <w:jc w:val="both"/>
        <w:spacing w:before="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Имущество расположено на неразграниченных земельных участках, находящимся в ведении Администрации Владивостокского  городского округа.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contextualSpacing/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Покупатель принимает вышеуказанное Имущество и уплачивает указанную настоящим Договором цену.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contextualSpacing/>
        <w:ind w:firstLine="426"/>
        <w:jc w:val="both"/>
        <w:spacing w:before="0"/>
        <w:tabs>
          <w:tab w:val="left" w:pos="567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ab/>
        <w:t xml:space="preserve">1.2. Продавец гарантирует, что на момент заключения настоящего Договора указанное Имущество свободно от прав третьих лиц.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contextualSpacing/>
        <w:ind w:firstLine="426"/>
        <w:jc w:val="both"/>
        <w:spacing w:before="0"/>
        <w:tabs>
          <w:tab w:val="left" w:pos="567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ab/>
        <w:t xml:space="preserve">1.3. Продавец не отвечает за недостатки проданного Имущества, которые были заранее известны Покупателю, либо должны были быть обнаружены Покупателем во время осмотра Имущества и подписания Актов приема-передачи.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center"/>
        <w:spacing w:before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2.  ЦЕНА И ПОРЯДОК РАСЧЕТОВ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2.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1. Цена приобретаемого Покупателем Имущества, указанного в п. 1.1. настоящего Договора, составляет ___________ (______________-) рублей 00 коп., в том числе НДС (20 %)  ____________ (_____________)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рублей 00 коп.</w:t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2.2.  Оплата производится в течение 5 (пяти) рабочих дней со дня заключения Договора, путём перечисления денежных средств от Покупателя на расчётный счёт Продавца, указанный в разделе 10</w:t>
      </w:r>
      <w:r>
        <w:rPr>
          <w:rFonts w:ascii="Times New Roman" w:hAnsi="Times New Roman" w:eastAsia="Times New Roman" w:cs="Times New Roman"/>
          <w:bCs/>
          <w:color w:val="ff00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настоящего договора, за вычетом суммы задатка, внесенной Покупателем в соответствии с п.2.4. настоящего Договора.</w:t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2.3. Продавец выставляет счет, счёт-фактуру Покупателю в сроки и оформленный в порядке, установленном законодательством Российской Федерации</w:t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ind w:firstLine="426"/>
        <w:jc w:val="both"/>
        <w:spacing w:before="0"/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2.4. Задаток, внесённый 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Покупателем в соответствии с документацией о продаже имущества АО «ДГК»: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2"/>
          <w:szCs w:val="22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2"/>
          <w:szCs w:val="22"/>
        </w:rPr>
        <w:t xml:space="preserve">Аукцион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2"/>
          <w:szCs w:val="22"/>
        </w:rPr>
        <w:t xml:space="preserve">на повышение на право заключения договора купли-продажи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2"/>
          <w:szCs w:val="22"/>
        </w:rPr>
        <w:t xml:space="preserve">Имущественного комплекса теплосетей Восточного района г. Владивостока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2"/>
          <w:szCs w:val="22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в сумме ______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_____ (_______________) рублей 00 коп. засчитывается  в счёт оплаты стоимости Имущества, НДС подлежит исчислению на дату поступления денежных средств.</w:t>
      </w:r>
      <w:r/>
    </w:p>
    <w:p>
      <w:pPr>
        <w:ind w:firstLine="426"/>
        <w:jc w:val="both"/>
        <w:spacing w:before="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2.5. Днём оплаты за Имущество считается день зачисления денежных средств в оплату этого Имущества на расчётный счёт, указанный Продавцом.       </w:t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ind w:firstLine="426"/>
        <w:jc w:val="center"/>
        <w:spacing w:before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3. ПОРЯДОК ПРИЕМКИ ИМУЩЕСТВА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ind w:firstLine="426"/>
        <w:jc w:val="both"/>
        <w:spacing w:before="0"/>
        <w:shd w:val="clear" w:color="auto" w:fill="ffffff"/>
        <w:widowControl w:val="off"/>
        <w:tabs>
          <w:tab w:val="num" w:pos="2160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3.1.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В течение 3 (трех) рабочих дней после оплаты Имущества Продавец обязан переда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ть Покупателю Имущество по Акту приема-передачи по форме Приложения №2. Вместе с Имуществом Продавец передает Покупателю всю имеющуюся у Продавца документацию на Имущество.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3.2. Обязательство Продавца передать Имущест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во Покупателю считается исполненным после выполнения Покупателем своих обязательств по перечислению денежных средств за приобретаемое Имущество и подписания Сторонами Акта приема-передачи Имущества.</w:t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ind w:right="-2" w:firstLine="426"/>
        <w:jc w:val="both"/>
        <w:spacing w:before="0"/>
        <w:widowControl w:val="o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3.3. С момента подписания Акта приема-передачи ответственность за сохранность, обязанность по содержанию Имущества, а также риск его случайной гибели или порчи переходят к Покупателю.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3.4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. Право собственности на недвижимое имущество, являющееся предметом настоящего Договора и указанное в п. 1.1 Договора, возникает у Покупателя с момента регистрации перехода права собственности на Имущество. Продавец представляет Покупателю документы, необх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одимые для государственной регистрации перехода права собственности 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и обеспечивает явку своего уполномоченного представителя в государственный орган, осуществляющий регистрацию прав на недвижимое Имущество и сделок с ним.</w:t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numPr>
          <w:ilvl w:val="0"/>
          <w:numId w:val="40"/>
        </w:numPr>
        <w:contextualSpacing/>
        <w:ind w:left="0" w:firstLine="426"/>
        <w:jc w:val="center"/>
        <w:spacing w:before="0" w:after="120" w:line="259" w:lineRule="auto"/>
        <w:widowControl w:val="off"/>
        <w:tabs>
          <w:tab w:val="left" w:pos="0" w:leader="none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sz w:val="24"/>
          <w:lang w:eastAsia="en-US"/>
        </w:rPr>
        <w:t xml:space="preserve">ОБЯЗАННОСТИ СТОРОН</w:t>
      </w: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ind w:firstLine="426"/>
        <w:jc w:val="both"/>
        <w:spacing w:before="0"/>
        <w:widowControl w:val="off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4.1       </w:t>
      </w: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Покупатель обязан: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ind w:firstLine="426"/>
        <w:jc w:val="both"/>
        <w:spacing w:before="0"/>
        <w:tabs>
          <w:tab w:val="left" w:pos="993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4.1.1 В течение 3 (трех) рабочих дней после оплаты принять от Продавца Имущество по акту приема-передачи недвижимого имущества по форме Приложения № 2 к Договору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2"/>
          <w:numId w:val="45"/>
        </w:numPr>
        <w:contextualSpacing/>
        <w:ind w:left="0" w:firstLine="426"/>
        <w:jc w:val="both"/>
        <w:spacing w:before="0" w:after="160" w:line="259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Оплатить стоимость Имущества в срок и в порядке, установленном в соответствии с п.2.2 Договора.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2"/>
          <w:numId w:val="45"/>
        </w:numPr>
        <w:contextualSpacing/>
        <w:ind w:left="0" w:firstLine="426"/>
        <w:jc w:val="both"/>
        <w:spacing w:before="0" w:after="160" w:line="259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Обеспечить подачу документов на государственную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р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егистрацию перехода к Покупателю права собственности на Имущество в орган, осуществляющий государственную регистрацию прав на недвижимое имущество и сделок с ним, в течение 5 (пяти) рабочих дней с даты передачи Имущества по актам приема-передачи имущества.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2"/>
          <w:numId w:val="45"/>
        </w:numPr>
        <w:contextualSpacing/>
        <w:ind w:left="567" w:hanging="141"/>
        <w:jc w:val="both"/>
        <w:spacing w:before="0" w:after="160" w:line="259" w:lineRule="auto"/>
        <w:widowControl w:val="off"/>
        <w:tabs>
          <w:tab w:val="left" w:pos="426" w:leader="none"/>
          <w:tab w:val="left" w:pos="993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Нести расходы за государственную регистрацию перехода права собственности.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1"/>
          <w:numId w:val="45"/>
        </w:numPr>
        <w:ind w:left="0" w:firstLine="426"/>
        <w:jc w:val="both"/>
        <w:spacing w:before="0" w:after="160" w:line="259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Продавец обязан: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numPr>
          <w:ilvl w:val="2"/>
          <w:numId w:val="46"/>
        </w:numPr>
        <w:contextualSpacing/>
        <w:ind w:left="0" w:firstLine="425"/>
        <w:jc w:val="both"/>
        <w:spacing w:before="0" w:after="160" w:line="259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В течение 3 (трех) рабочих дней после оплаты передать Покупателю Имущество по акту приема-передачи недвижимого имущества по форме Приложения № 2 к Договору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2"/>
          <w:numId w:val="45"/>
        </w:numPr>
        <w:ind w:left="0" w:firstLine="425"/>
        <w:jc w:val="both"/>
        <w:spacing w:before="0" w:after="160" w:line="259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Предоставить Покупателю все документы по Имуществу, необходимые для проведения государственной регистрации прав на недвижимое имущество и сделок с ним, в течение 3 (трех) рабочих дней с даты передачи Имущества по актам приема-передач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numPr>
          <w:ilvl w:val="2"/>
          <w:numId w:val="45"/>
        </w:numPr>
        <w:ind w:left="0" w:firstLine="426"/>
        <w:jc w:val="both"/>
        <w:spacing w:before="0" w:after="160" w:line="259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Не соверша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ть с даты подписания Договора Сторонами и до даты государственной регистрации перехода к Покупателю права собственности на Имущество, никаких действий, которые могут повлечь возникновение у третьих лиц каких-либо прав на передаваемое по Договору Имущество.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0"/>
          <w:numId w:val="46"/>
        </w:numPr>
        <w:contextualSpacing/>
        <w:jc w:val="center"/>
        <w:spacing w:before="0" w:after="160" w:line="259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ОТВЕТСТВЕННОСТЬ СТОРОН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5.1. В случае, если Покупателем не были исполнены обязательства по оплате Имущества или исполнены не в полном объеме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или в сроки, превышающие установленные п. 2.2 Договора, Продавец имеет право на получение с Покупателя неустойки в размере 0,1% (ноль целых и одна десятая) процента от стоимости Имущества, указанной в п. 2.1. настоящего Договора за каждый день просрочки.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Уплата Покупателем неустойки Продавцу не освобождает Покупателя от исполнения обязательства по оплате Имущества в случае, если Продавец не отказался от исполнения настоящего Договора.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В случа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е отказа Покупателя от оплаты Имущества, задаток, внесенный Покупателем в соответствии с документацией о продаже имущества АО «ДГК»:</w:t>
      </w:r>
      <w:r>
        <w:rPr>
          <w:rFonts w:ascii="Times New Roman" w:hAnsi="Times New Roman" w:eastAsia="Times New Roman" w:cs="Times New Roman"/>
          <w:color w:val="00b05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  <w:highlight w:val="none"/>
        </w:rPr>
        <w:t xml:space="preserve">Аукцион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  <w:highlight w:val="none"/>
        </w:rPr>
        <w:t xml:space="preserve">на повышение на право заключения договора купли-продажи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  <w:highlight w:val="none"/>
        </w:rPr>
        <w:t xml:space="preserve">Имущественного комплекса теплосетей Восточного района г. Владивостока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2"/>
          <w:szCs w:val="22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highlight w:val="white"/>
        </w:rPr>
        <w:t xml:space="preserve"> в сумме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__________________ (____________) рублей 00 коп.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Покупателю не возвращается.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</w:r>
      <w:r>
        <w:rPr>
          <w:rFonts w:ascii="Times New Roman" w:hAnsi="Times New Roman" w:cs="Times New Roman"/>
          <w:b w:val="0"/>
          <w:bCs w:val="0"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5.2. В случае просрочки Покупателем оплаты Имущества по настоящему Договору на срок более 30 (тридцати) календарных дней, Продавец вправе в одностороннем порядке расторгнуть настоящий Договор, направив Покупателю уведомление о расторжении Договора.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5.3. Сторона, не исполнившая или ненадлежащим образом исполнившая свои обязательства по Договору при выполнении его усло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вий, несёт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или непредотвратимых обстоятельств, при конкретных условиях конкретного периода времени.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     </w:t>
      </w:r>
      <w:r>
        <w:rPr>
          <w:rFonts w:ascii="Times New Roman" w:hAnsi="Times New Roman" w:cs="Times New Roman"/>
          <w:color w:val="000000"/>
          <w:sz w:val="22"/>
          <w:szCs w:val="22"/>
        </w:rPr>
      </w:r>
      <w:r>
        <w:rPr>
          <w:rFonts w:ascii="Times New Roman" w:hAnsi="Times New Roman" w:cs="Times New Roman"/>
          <w:color w:val="000000"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5.4. Сторона, попавшая под влияние форс-мажорных обстоятельств, обязана уведомить об этом другую Сторону любым возможным способом не позднее 5 календарных дней со дня наступления таких обстоятельств.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tabs>
          <w:tab w:val="left" w:pos="851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5.5. Надлежащим (достаточным) доказательством наличия/ возникновения и про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должительности действия обстоятельств непреодолимой силы являются документы, выдаваемые компетентными органами (организациями), подтверждающие события, на которые заинтересованная Сторона ссылается в качестве обстоятельств непреодолимой силы (форс-мажора).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tabs>
          <w:tab w:val="left" w:pos="851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Отсутствие уведомления или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основание, освобождающее или ограничивающее ее ответственность за неисполнение обязательств по Договору.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tabs>
          <w:tab w:val="left" w:pos="851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5.6. Во всем, что не предусмотрено настоящим Договором, Стороны руководствуются действующим законодательством РФ.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0"/>
          <w:numId w:val="41"/>
        </w:numPr>
        <w:contextualSpacing/>
        <w:ind w:left="0" w:firstLine="426"/>
        <w:jc w:val="center"/>
        <w:spacing w:before="0" w:after="120" w:line="259" w:lineRule="auto"/>
        <w:widowControl w:val="off"/>
        <w:tabs>
          <w:tab w:val="left" w:pos="284" w:leader="none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sz w:val="24"/>
          <w:lang w:eastAsia="en-US"/>
        </w:rPr>
        <w:t xml:space="preserve">ГАРАНТИИ СТОРОН (ЗАВЕРЕНИЯ ОБ ОБСТОЯТЕЛЬСТВАХ)</w:t>
      </w: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numPr>
          <w:ilvl w:val="1"/>
          <w:numId w:val="42"/>
        </w:numPr>
        <w:contextualSpacing/>
        <w:ind w:left="0" w:firstLine="426"/>
        <w:jc w:val="both"/>
        <w:spacing w:before="0" w:after="160" w:line="259" w:lineRule="auto"/>
        <w:widowControl w:val="off"/>
        <w:tabs>
          <w:tab w:val="left" w:pos="1134" w:leader="none"/>
        </w:tabs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Стороны гарантируют, что Договором не нарушаются обязательства соответствующей Стороны перед третьими лицами.</w:t>
      </w:r>
      <w:r>
        <w:rPr>
          <w:rFonts w:ascii="Times New Roman" w:hAnsi="Times New Roman" w:cs="Times New Roman"/>
          <w:color w:val="ff0000"/>
          <w:sz w:val="22"/>
          <w:szCs w:val="22"/>
        </w:rPr>
      </w:r>
      <w:r>
        <w:rPr>
          <w:rFonts w:ascii="Times New Roman" w:hAnsi="Times New Roman" w:cs="Times New Roman"/>
          <w:color w:val="ff0000"/>
          <w:sz w:val="22"/>
          <w:szCs w:val="22"/>
        </w:rPr>
      </w:r>
    </w:p>
    <w:p>
      <w:pPr>
        <w:numPr>
          <w:ilvl w:val="1"/>
          <w:numId w:val="43"/>
        </w:numPr>
        <w:contextualSpacing/>
        <w:ind w:left="0" w:firstLine="426"/>
        <w:jc w:val="both"/>
        <w:spacing w:before="0" w:after="160" w:line="259" w:lineRule="auto"/>
        <w:rPr>
          <w:rFonts w:ascii="Times New Roman" w:hAnsi="Times New Roman" w:cs="Times New Roman"/>
          <w:sz w:val="22"/>
          <w:szCs w:val="22"/>
        </w:rPr>
        <w:outlineLvl w:val="0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Продавец заверяет и гарантирует Покупателю, что на дату заключения Договора:</w:t>
      </w:r>
      <w:bookmarkEnd w:id="0"/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2"/>
          <w:numId w:val="44"/>
        </w:numPr>
        <w:contextualSpacing/>
        <w:ind w:left="0" w:firstLine="426"/>
        <w:jc w:val="both"/>
        <w:spacing w:before="0" w:after="160" w:line="259" w:lineRule="auto"/>
        <w:rPr>
          <w:rFonts w:ascii="Times New Roman" w:hAnsi="Times New Roman" w:cs="Times New Roman"/>
          <w:sz w:val="22"/>
          <w:szCs w:val="22"/>
        </w:rPr>
        <w:outlineLvl w:val="0"/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Продавец является действующим юридическим лицом и обладает правоспособностью на заключение Договора.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  <w:outlineLvl w:val="0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6.2.2 Лицо, подписывающее Договор и настоящие заверения от имени Продавца, обладает всеми необходимыми полномочиями на их подписание.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1"/>
          <w:numId w:val="44"/>
        </w:numPr>
        <w:contextualSpacing/>
        <w:ind w:left="0" w:firstLine="426"/>
        <w:jc w:val="both"/>
        <w:spacing w:before="0" w:after="160" w:line="259" w:lineRule="auto"/>
        <w:rPr>
          <w:rFonts w:ascii="Times New Roman" w:hAnsi="Times New Roman" w:cs="Times New Roman"/>
          <w:sz w:val="22"/>
          <w:szCs w:val="22"/>
        </w:rPr>
        <w:outlineLvl w:val="0"/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 Покупатель заверяет и гарантирует Продавцу, что на дату заключения Договора: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2"/>
          <w:numId w:val="44"/>
        </w:numPr>
        <w:ind w:left="0" w:firstLine="426"/>
        <w:jc w:val="both"/>
        <w:spacing w:before="0" w:after="160" w:line="259" w:lineRule="auto"/>
        <w:rPr>
          <w:rFonts w:ascii="Times New Roman" w:hAnsi="Times New Roman" w:cs="Times New Roman"/>
          <w:sz w:val="22"/>
          <w:szCs w:val="22"/>
        </w:rPr>
        <w:outlineLvl w:val="0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Покупатель является действующим юридическим лицом/дееспособным лицом и обладает правоспособностью на заключение Договора.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2"/>
          <w:numId w:val="44"/>
        </w:numPr>
        <w:ind w:left="0" w:firstLine="426"/>
        <w:jc w:val="both"/>
        <w:spacing w:before="0" w:after="160" w:line="259" w:lineRule="auto"/>
        <w:widowControl w:val="o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Лицо, подписывающее Договор и настоящие заверения от имени Покупателя, обладает всеми необходимыми полномочиями на их подписание.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1"/>
          <w:numId w:val="44"/>
        </w:numPr>
        <w:ind w:left="0" w:firstLine="426"/>
        <w:jc w:val="both"/>
        <w:spacing w:before="0" w:after="160" w:line="259" w:lineRule="auto"/>
        <w:widowControl w:val="o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 Сторо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ны гарантируют, что на дату заключения Договора каждой из Сторон получены все необходимые корпоративные одобрения, требующиеся для заключения и исполнения Договора в соответствии с законодательством Российской Федерации и учредительными документами Сторон.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1"/>
          <w:numId w:val="44"/>
        </w:numPr>
        <w:ind w:left="0" w:firstLine="426"/>
        <w:jc w:val="both"/>
        <w:spacing w:before="0" w:after="160" w:line="259" w:lineRule="auto"/>
        <w:rPr>
          <w:rFonts w:ascii="Times New Roman" w:hAnsi="Times New Roman" w:cs="Times New Roman"/>
          <w:sz w:val="22"/>
          <w:szCs w:val="22"/>
        </w:rPr>
        <w:outlineLvl w:val="0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 Гарантии, перечисленные в настоящем разделе 6 Договора, являются в соответствии со статьей 431.2 ГК РФ заверениями об о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бстоятельствах. В случае недостоверности указанных в настоящем разделе заверений Сторона, предоставившая недостоверные заверения об обстоятельствах, обязуется возместить другой Стороны по ее требованию убытки, причиненные недостоверностью таких заверений.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0"/>
          <w:numId w:val="43"/>
        </w:numPr>
        <w:contextualSpacing/>
        <w:jc w:val="center"/>
        <w:spacing w:before="0" w:after="160" w:line="259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СРОК ДЕЙСТВИЯ ДОГОВОРА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 7.1. Настоящий Договор вступает в силу с даты его подписания Сторонами и действует до исполнения Сторонами всех обязательств по Договору.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numPr>
          <w:ilvl w:val="0"/>
          <w:numId w:val="43"/>
        </w:numPr>
        <w:contextualSpacing/>
        <w:jc w:val="center"/>
        <w:spacing w:before="0" w:after="160" w:line="259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АНТИКОРРУПЦИОННАЯ ОГОВОРКА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ind w:right="-2"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 8.1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ab/>
        <w:t xml:space="preserve">Стороны обязуются обеспечить, чтобы при исполнении обязательств, возникающих по Договору или в связи с ним, их аффилированные лица, работники и/или пре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дставители не осуществляли, прямо или косвенно не предлагали и не разрешали выплату денежных средств, передачу ценностей и/или подарков, безвозмездного оказания услуг или выполнения работ любым аффилированным лицам, работникам и/или представителем другой С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тороны, а также лицам, аффилированным по отношению к таким работникам и/или представителям, для оказания влияния на действия или решения соответствующих лиц с целью получения каких-либо неправомерных преимуществ или для достижения иных неправомерных целей.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right="-2"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8.2.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ab/>
        <w:t xml:space="preserve">При исполнении своих обязательств по Договору, Стороны, их аффилированные лица, работники и/или представители также обязуются не осуществлять действия, квалифицируемые применимым для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 целей Договора правом как дача или получение взятки, коммерческий подкуп, а также любые иные действия, нарушающие требования применимого права и международных актов о противодействии коррупции, легализации (отмыванию) доходов, полученных преступным путем.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right="-2"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8.3.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ab/>
        <w:t xml:space="preserve">В случае возникновения у любой Стороны обоснованных предположений, что в процессе исполнения Договора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 произошло или может произойти нарушение каких-либо положений настоящего раздела Договора, такая Сторона обязуется письменно уведомить другую Сторону о таких предположениях. В уведомлении Сторона обязана сослаться на факты или предоставить соответствующие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мaтepиaлы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, подтверждающие или дающие основание полагать, что произошло или может произойти нарушение положений настоящего раздела.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right="-2"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8.4.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ab/>
        <w:t xml:space="preserve">После направления письменного уведомления соответствующая Сторона имеет право приостановить исполнение обязательств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 по Договору до получения письменного подтверждения другой Стороны, что нарушения не произошло или не произойдет. Соответствующее подтверждение должно быть направлено другой Стороной в течение 5 (пяти) рабочих дней с даты получения письменного уведомления.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right="-2"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8.5.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ab/>
        <w:t xml:space="preserve">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  Стороны в целом, так и для конкретных работников уведомившей Стороны, сообщивших о факте нарушении.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right="-2"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8.6.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ab/>
        <w:t xml:space="preserve">В случае подтверждения факта нарушения одной Стороной положений настоящего раздела Договора и/или неполучения другой Стороной информации об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итогах рассмотрения уведомления о нарушении, другая Сторона имеет право отказаться от Договора в одностороннем внесудебном порядке путем направления письменного уведомления не позднее, чем за 5 (пять) календарных дней до даты прекращения действия Договора.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right="-2"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8.7.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ab/>
        <w:t xml:space="preserve">Каналы связи Линия доверия Группы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РусГидро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: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right="-2"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8.7.1. Электронная почта: ld@rushydro.ru;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right="-2"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8.7.2.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ab/>
        <w:t xml:space="preserve">Специальная форма «обратной связи», размещенная на официальном сайте Общества в сети интернет: http://www.rushydro.ru/ (далее перейти по ссылке «Линия доверия» и заполнить поля специальной формы «обратной связи»);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right="-2" w:firstLine="426"/>
        <w:jc w:val="both"/>
        <w:spacing w:before="0"/>
        <w:rPr>
          <w:rFonts w:ascii="Times New Roman" w:hAnsi="Times New Roman" w:eastAsia="Times New Roman" w:cs="Times New Roman"/>
          <w:sz w:val="21"/>
          <w:szCs w:val="21"/>
          <w:highlight w:val="none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8.7.3.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ab/>
        <w:t xml:space="preserve">Телефонный автоответчик (необходимо позвонить по телефону +7(495) 785-09-37 (круглосуточно), дождаться сигнала о начале записи и оставить устное обращение).</w:t>
      </w:r>
      <w:r>
        <w:rPr>
          <w:rFonts w:ascii="Times New Roman" w:hAnsi="Times New Roman" w:eastAsia="Times New Roman" w:cs="Times New Roman"/>
          <w:sz w:val="21"/>
          <w:szCs w:val="21"/>
          <w:highlight w:val="none"/>
        </w:rPr>
      </w:r>
      <w:r>
        <w:rPr>
          <w:rFonts w:ascii="Times New Roman" w:hAnsi="Times New Roman" w:eastAsia="Times New Roman" w:cs="Times New Roman"/>
          <w:sz w:val="21"/>
          <w:szCs w:val="21"/>
          <w:highlight w:val="none"/>
        </w:rPr>
      </w:r>
    </w:p>
    <w:p>
      <w:pPr>
        <w:ind w:firstLine="426"/>
        <w:jc w:val="center"/>
        <w:spacing w:befor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9. ЗАКЛЮЧИТЕЛЬНЫЕ ПОЛОЖЕНИЯ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ind w:firstLine="426"/>
        <w:jc w:val="both"/>
        <w:spacing w:before="0"/>
        <w:tabs>
          <w:tab w:val="left" w:pos="0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 9.1. Все споры и разногласия, возникающие из настоящего Договора или в связи с ним, в том числе касающиеся его выполнения, нарушения, прекраще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ния или действительности, подлежат разрешению сторонами путем переговоров. Достигнутые договоренности в обязательном порядке фиксируются дополнительным соглашением сторон, которые с момента его подписания становятся неотъемлемой частью настоящего Договора.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tabs>
          <w:tab w:val="left" w:pos="0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Неурегулированные разногласия подлежат разрешению между Сторонами в Арбитражном суде Приморского края.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tabs>
          <w:tab w:val="left" w:pos="0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9.2. Сторонами применяется обязательный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досудебный (претензионный) порядок разрешения споров. Сторона, права которой нарушены, до обращения в суд направляет другой Стороне письменную претензию с изложением своих требований. Претензии направляются в порядке, предусмотренном пунктом 9.5 Договора.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tabs>
          <w:tab w:val="left" w:pos="0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9.3. Срок для рассмотрения претензии – 15 (пятнадцать) рабочих дней со дня ее получения. Если в указанный срок требования не удовлетворены и не направлены мотивированные возражения, то Сторона, право которой нарушено, вправе обратиться с иском в суд.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tabs>
          <w:tab w:val="left" w:pos="0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9.4. Любые изменения и дополнения к Договору действительны лишь при условии, что они совершены в письменной форме и подписаны надлежащим образом уполномоченными на то представителями сторон.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tabs>
          <w:tab w:val="left" w:pos="0" w:leader="none"/>
        </w:tabs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9.5. Письма, уведомления и/или сообщения направляются Стороне-получателю по адресу ее места нахождения, указанному в разделе 10 Договора, или в полученном уведомлении Стороны об изменении адреса, почтовым отправлением.</w:t>
      </w: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ind w:firstLine="426"/>
        <w:jc w:val="both"/>
        <w:spacing w:before="0"/>
        <w:tabs>
          <w:tab w:val="left" w:pos="0" w:leader="none"/>
        </w:tabs>
        <w:rPr>
          <w:rFonts w:ascii="Times New Roman" w:hAnsi="Times New Roman" w:eastAsia="Times New Roman" w:cs="Times New Roman"/>
          <w:szCs w:val="22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9.6.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Документы, переданные при совершении сделки, с использованием электронной почты признаются сторонами, как имеющие юридическую силу при условии последующего направления в 30-дневный срок подлинных документов в подтверждение копии</w:t>
      </w:r>
      <w:r>
        <w:rPr>
          <w:rFonts w:ascii="Times New Roman" w:hAnsi="Times New Roman" w:eastAsia="Times New Roman" w:cs="Times New Roman"/>
          <w:szCs w:val="22"/>
          <w14:ligatures w14:val="none"/>
        </w:rPr>
      </w:r>
      <w:r>
        <w:rPr>
          <w:rFonts w:ascii="Times New Roman" w:hAnsi="Times New Roman" w:eastAsia="Times New Roman" w:cs="Times New Roman"/>
          <w:szCs w:val="22"/>
          <w14:ligatures w14:val="none"/>
        </w:rPr>
      </w:r>
    </w:p>
    <w:p>
      <w:pPr>
        <w:ind w:firstLine="426"/>
        <w:jc w:val="both"/>
        <w:spacing w:before="0"/>
        <w:tabs>
          <w:tab w:val="left" w:pos="0" w:leader="none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9.7.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тороны договорились в рамках исполнения Договора о возможности применения электронного документооборота, руководствуясь действующим законодательством Российской Федерации, Правилами операторов систем электронного документооборота (аккредитованных ФНС РФ),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с которыми у Сторон заключены соответствующие Соглашения, а также Регламентами предоставления услуг Операторов Удостоверяющих центров. Передача электронных документов осуществляется через АО «ПФ «СКБ Контур» с использованием web-решения Диадок (</w:t>
      </w:r>
      <w:hyperlink r:id="rId12" w:tooltip="Click to open https://www.diadoc.ru/" w:history="1">
        <w:r>
          <w:rPr>
            <w:rFonts w:ascii="Times New Roman" w:hAnsi="Times New Roman" w:eastAsia="Times New Roman" w:cs="Times New Roman"/>
            <w:color w:val="000000" w:themeColor="text1"/>
            <w:sz w:val="22"/>
            <w:szCs w:val="22"/>
          </w:rPr>
          <w:t xml:space="preserve">https://www.diadoc.ru/</w:t>
        </w:r>
      </w:hyperlink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). В случае использования Покупателем другого оператора электронного документооборота (аккредитованного ФНС РФ), Продавец, при наличии технической возможности у используемых Продавцом операторов, инициирует настройку роуминга между операторами систем э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лектронного документооборота Сторон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firstLine="426"/>
        <w:jc w:val="both"/>
        <w:spacing w:before="0"/>
        <w:tabs>
          <w:tab w:val="left" w:pos="0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9.8. Настоящий Договор составлен в 2 (двух) экземплярах, имеющих равную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юридическую силу, по одному для каждой сторон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contextualSpacing/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 Приложение №1: Перечень недвижимого имущества.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contextualSpacing/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 Приложение №2: Форма акта приема-передачи недвижимого имущества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                                                     </w:t>
      </w: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10. РЕКВИЗИТЫ И ПОДПИСИ СТОРОН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tbl>
      <w:tblPr>
        <w:tblW w:w="10001" w:type="dxa"/>
        <w:jc w:val="center"/>
        <w:tblLayout w:type="fixed"/>
        <w:tblLook w:val="04A0" w:firstRow="1" w:lastRow="0" w:firstColumn="1" w:lastColumn="0" w:noHBand="0" w:noVBand="1"/>
      </w:tblPr>
      <w:tblGrid>
        <w:gridCol w:w="5142"/>
        <w:gridCol w:w="4859"/>
      </w:tblGrid>
      <w:tr>
        <w:tblPrEx/>
        <w:trPr>
          <w:jc w:val="center"/>
          <w:trHeight w:val="231"/>
        </w:trPr>
        <w:tc>
          <w:tcPr>
            <w:tcW w:w="5142" w:type="dxa"/>
            <w:textDirection w:val="lrTb"/>
            <w:noWrap w:val="false"/>
          </w:tcPr>
          <w:p>
            <w:pPr>
              <w:ind w:firstLine="426"/>
              <w:jc w:val="both"/>
              <w:spacing w:before="0"/>
              <w:widowControl w:val="off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ПРОДАВЕЦ: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</w:p>
        </w:tc>
        <w:tc>
          <w:tcPr>
            <w:tcW w:w="4859" w:type="dxa"/>
            <w:textDirection w:val="lrTb"/>
            <w:noWrap w:val="false"/>
          </w:tcPr>
          <w:p>
            <w:pPr>
              <w:ind w:firstLine="426"/>
              <w:jc w:val="both"/>
              <w:spacing w:before="0"/>
              <w:widowControl w:val="off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ПОКУПАТЕЛЬ: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</w:p>
        </w:tc>
      </w:tr>
      <w:tr>
        <w:tblPrEx/>
        <w:trPr>
          <w:jc w:val="center"/>
          <w:trHeight w:val="4598"/>
        </w:trPr>
        <w:tc>
          <w:tcPr>
            <w:tcW w:w="5142" w:type="dxa"/>
            <w:textDirection w:val="lrTb"/>
            <w:noWrap w:val="false"/>
          </w:tcPr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АО «ДГК»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Местонахождение: РФ г. Хабаровск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Адрес: 680000, Хабаровский край, г. Хабаровск,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ул. Фрунзе, 49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ИНН 1434031363 КПП 997650001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Дальневосточный Банк ПАО «Сбербанк России»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Хабаровск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р/с 40702810270000008818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к/с 30101810600000000608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БИК 040813608 КПП банка 272202001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 «Приморские тепловые сети»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Адрес для корреспонденции: 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690090, Приморский край, г. Владивосток,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Западная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29.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Тел.: (4232) 262-98-88, факс (4232) 240-03-83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hyperlink r:id="rId13" w:tooltip="mailto:priemnaya-pts@dgk.ru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priemnaya-pts@dgk.ru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859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jc w:val="center"/>
        </w:trPr>
        <w:tc>
          <w:tcPr>
            <w:tcW w:w="5142" w:type="dxa"/>
            <w:textDirection w:val="lrTb"/>
            <w:noWrap w:val="false"/>
          </w:tcPr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strike w:val="0"/>
                <w:sz w:val="20"/>
                <w:szCs w:val="20"/>
              </w:rPr>
              <w:t xml:space="preserve">________________ /_________________/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4859" w:type="dxa"/>
            <w:textDirection w:val="lrTb"/>
            <w:noWrap w:val="false"/>
          </w:tcPr>
          <w:p>
            <w:pPr>
              <w:jc w:val="both"/>
              <w:spacing w:before="0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________________/_______________/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W w:w="5142" w:type="dxa"/>
            <w:textDirection w:val="lrTb"/>
            <w:noWrap w:val="false"/>
          </w:tcPr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strike w:val="0"/>
                <w:sz w:val="20"/>
                <w:szCs w:val="20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bCs/>
                <w:strike w:val="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4859" w:type="dxa"/>
            <w:textDirection w:val="lrTb"/>
            <w:noWrap w:val="false"/>
          </w:tcPr>
          <w:p>
            <w:pPr>
              <w:jc w:val="both"/>
              <w:spacing w:before="0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W w:w="5142" w:type="dxa"/>
            <w:textDirection w:val="lrTb"/>
            <w:noWrap w:val="false"/>
          </w:tcPr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strike w:val="0"/>
                <w:sz w:val="20"/>
                <w:szCs w:val="20"/>
              </w:rPr>
              <w:t xml:space="preserve">«___» _____________ 2025 г.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4859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   «___» _____________ 2025 г.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</w:tbl>
    <w:p>
      <w:pPr>
        <w:ind w:firstLine="426"/>
        <w:jc w:val="both"/>
        <w:spacing w:before="0"/>
        <w:shd w:val="clear" w:color="auto" w:fill="ffffff"/>
        <w:widowControl w:val="off"/>
        <w:rPr>
          <w:rFonts w:ascii="Times New Roman" w:hAnsi="Times New Roman" w:cs="Times New Roman"/>
          <w:bCs/>
          <w:sz w:val="22"/>
          <w:szCs w:val="22"/>
        </w:rPr>
        <w:sectPr>
          <w:footnotePr/>
          <w:endnotePr/>
          <w:type w:val="nextColumn"/>
          <w:pgSz w:w="11906" w:h="16838" w:orient="portrait"/>
          <w:pgMar w:top="567" w:right="567" w:bottom="822" w:left="1134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eastAsia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contextualSpacing/>
        <w:ind w:left="10205" w:right="0" w:firstLine="0"/>
        <w:jc w:val="left"/>
        <w:spacing w:before="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  <w:t xml:space="preserve">Приложение № 1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>
        <w:rPr>
          <w:rFonts w:ascii="Times New Roman" w:hAnsi="Times New Roman" w:eastAsia="Times New Roman" w:cs="Times New Roman"/>
          <w:bCs/>
          <w:sz w:val="16"/>
          <w:szCs w:val="16"/>
        </w:rPr>
        <w:t xml:space="preserve">к договору </w:t>
      </w:r>
      <w:r>
        <w:rPr>
          <w:rFonts w:ascii="Times New Roman" w:hAnsi="Times New Roman" w:eastAsia="Times New Roman" w:cs="Times New Roman"/>
          <w:bCs/>
          <w:sz w:val="16"/>
          <w:szCs w:val="16"/>
        </w:rPr>
        <w:t xml:space="preserve">купли-продажи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>
        <w:rPr>
          <w:rFonts w:ascii="Times New Roman" w:hAnsi="Times New Roman" w:eastAsia="Times New Roman" w:cs="Times New Roman"/>
          <w:bCs/>
          <w:sz w:val="16"/>
          <w:szCs w:val="16"/>
        </w:rPr>
        <w:t xml:space="preserve">имущества </w:t>
      </w:r>
      <w:r>
        <w:rPr>
          <w:rFonts w:ascii="Times New Roman" w:hAnsi="Times New Roman" w:eastAsia="Times New Roman" w:cs="Times New Roman"/>
          <w:sz w:val="16"/>
          <w:szCs w:val="16"/>
        </w:rPr>
      </w:r>
      <w:r>
        <w:rPr>
          <w:rFonts w:ascii="Times New Roman" w:hAnsi="Times New Roman" w:eastAsia="Times New Roman" w:cs="Times New Roman"/>
          <w:sz w:val="16"/>
          <w:szCs w:val="16"/>
        </w:rPr>
      </w:r>
    </w:p>
    <w:p>
      <w:pPr>
        <w:contextualSpacing/>
        <w:ind w:left="10205" w:right="0" w:firstLine="0"/>
        <w:jc w:val="left"/>
        <w:spacing w:before="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>
        <w:rPr>
          <w:rFonts w:ascii="Times New Roman" w:hAnsi="Times New Roman" w:eastAsia="Times New Roman" w:cs="Times New Roman"/>
          <w:bCs/>
          <w:sz w:val="16"/>
          <w:szCs w:val="16"/>
        </w:rPr>
        <w:t xml:space="preserve">№ ____________ </w:t>
      </w:r>
      <w:r>
        <w:rPr>
          <w:rFonts w:ascii="Times New Roman" w:hAnsi="Times New Roman" w:eastAsia="Times New Roman" w:cs="Times New Roman"/>
          <w:bCs/>
          <w:sz w:val="16"/>
          <w:szCs w:val="16"/>
        </w:rPr>
        <w:t xml:space="preserve">от «____» _______ 2025г. </w:t>
      </w:r>
      <w:r>
        <w:rPr>
          <w:rFonts w:ascii="Times New Roman" w:hAnsi="Times New Roman" w:eastAsia="Times New Roman" w:cs="Times New Roman"/>
          <w:sz w:val="16"/>
          <w:szCs w:val="16"/>
        </w:rPr>
      </w:r>
      <w:r>
        <w:rPr>
          <w:rFonts w:ascii="Times New Roman" w:hAnsi="Times New Roman" w:eastAsia="Times New Roman" w:cs="Times New Roman"/>
          <w:sz w:val="16"/>
          <w:szCs w:val="16"/>
        </w:rPr>
      </w:r>
    </w:p>
    <w:p>
      <w:pPr>
        <w:ind w:firstLine="426"/>
        <w:jc w:val="center"/>
        <w:shd w:val="clear" w:color="auto" w:fill="ffffff"/>
        <w:widowControl w:val="off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Перечень недвижимого имущества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tbl>
      <w:tblPr>
        <w:tblpPr w:horzAnchor="page" w:tblpX="709" w:vertAnchor="page" w:tblpY="1422" w:leftFromText="180" w:topFromText="0" w:rightFromText="180" w:bottomFromText="0"/>
        <w:tblW w:w="153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7"/>
        <w:gridCol w:w="1702"/>
        <w:gridCol w:w="1133"/>
        <w:gridCol w:w="1559"/>
        <w:gridCol w:w="825"/>
        <w:gridCol w:w="1018"/>
        <w:gridCol w:w="1843"/>
        <w:gridCol w:w="1275"/>
        <w:gridCol w:w="1418"/>
        <w:gridCol w:w="2551"/>
      </w:tblGrid>
      <w:tr>
        <w:tblPrEx/>
        <w:trPr>
          <w:trHeight w:val="1554"/>
        </w:trPr>
        <w:tc>
          <w:tcPr>
            <w:shd w:val="clear" w:color="ffffff" w:fill="ffffff"/>
            <w:tcW w:w="56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</w:tc>
        <w:tc>
          <w:tcPr>
            <w:shd w:val="clear" w:color="ffffff" w:fill="ffffff"/>
            <w:tcW w:w="141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 xml:space="preserve">Наименование  сооружения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Кадастровый номер сооружения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</w:tc>
        <w:tc>
          <w:tcPr>
            <w:tcW w:w="1133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Адрес местонахождения по ЕГРН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</w:tc>
        <w:tc>
          <w:tcPr>
            <w:shd w:val="clear" w:color="ffffff" w:fill="ffffff"/>
            <w:tcW w:w="155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r>
          </w:p>
          <w:p>
            <w:pPr>
              <w:jc w:val="center"/>
              <w:tabs>
                <w:tab w:val="left" w:pos="709" w:leader="none"/>
              </w:tabs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highlight w:val="none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Характеристика объекта по ЕГРН </w:t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highlight w:val="none"/>
              </w:rPr>
              <w:t xml:space="preserve">(протяженность)</w:t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highlight w:val="none"/>
              </w:rPr>
            </w:r>
          </w:p>
        </w:tc>
        <w:tc>
          <w:tcPr>
            <w:shd w:val="clear" w:color="ffffff" w:fill="ffffff"/>
            <w:tcW w:w="825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 xml:space="preserve">Номер и дата государственной регистрации права Продавца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</w:tc>
        <w:tc>
          <w:tcPr>
            <w:tcW w:w="101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 xml:space="preserve">Инвентарный номер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Техническое состояние сооружения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</w:p>
        </w:tc>
        <w:tc>
          <w:tcPr>
            <w:shd w:val="clear" w:color="ffffff" w:fill="ffffff"/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Цена без НДС, руб.</w:t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</w:p>
        </w:tc>
        <w:tc>
          <w:tcPr>
            <w:shd w:val="clear" w:color="ffffff" w:fill="ffffff"/>
            <w:tcW w:w="14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НДС 20%, руб.</w:t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r>
          </w:p>
        </w:tc>
        <w:tc>
          <w:tcPr>
            <w:shd w:val="clear" w:color="ffffff" w:fill="ffffff"/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 xml:space="preserve">Цена,  с НДС 20%, руб.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</w:tc>
      </w:tr>
      <w:tr>
        <w:tblPrEx/>
        <w:trPr/>
        <w:tc>
          <w:tcPr>
            <w:shd w:val="clear" w:color="ffffff" w:fill="ffffff"/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sz w:val="18"/>
                <w:szCs w:val="18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none"/>
              </w:rPr>
              <w:t xml:space="preserve">Паротрасса от ВТЭЦ-2 (лит. Т8)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white"/>
              </w:rPr>
              <w:t xml:space="preserve">25:28:000000: 69600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Приморский край, г.Владивосток, Восточный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6"/>
                <w:szCs w:val="16"/>
                <w:highlight w:val="white"/>
              </w:rPr>
              <w:t xml:space="preserve">5 141 м*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none"/>
              </w:rPr>
              <w:t xml:space="preserve">25:28:000000:69600-25/056/2024-1 от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none"/>
              </w:rPr>
              <w:t xml:space="preserve">09.08.2024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01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00000000000000034153 (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Е079-2014808);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</w:p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none"/>
              </w:rPr>
              <w:t xml:space="preserve">00000000000000034173 (Е079-2014956)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неработоспособна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W w:w="141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shd w:val="clear" w:color="ffffff" w:fill="ffffff"/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sz w:val="18"/>
                <w:szCs w:val="18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none"/>
              </w:rPr>
              <w:t xml:space="preserve">Теплотрасса (лит.Т 14)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none"/>
              </w:rPr>
              <w:t xml:space="preserve">25:28:000000: 69605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highlight w:val="none"/>
              </w:rPr>
              <w:t xml:space="preserve">2 670,0 м**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none"/>
              </w:rPr>
              <w:t xml:space="preserve">25:28:000000:69605-25/056/2024-1 от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none"/>
              </w:rPr>
              <w:t xml:space="preserve">09.08.2024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01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ПГ 000000000000003705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неработоспособна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ffffff" w:fill="ffffff"/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W w:w="141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blPrEx/>
        <w:trPr>
          <w:trHeight w:val="864"/>
        </w:trPr>
        <w:tc>
          <w:tcPr>
            <w:shd w:val="clear" w:color="ffffff" w:fill="ffffff"/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none"/>
              </w:rPr>
              <w:t xml:space="preserve">Теплосеть от ВТЭЦ-2 (лит. Т20)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highlight w:val="none"/>
              </w:rPr>
              <w:t xml:space="preserve">25:28:000000: 69611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</w:rPr>
              <w:t xml:space="preserve">2 230,0 м***</w:t>
            </w: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none"/>
              </w:rPr>
              <w:t xml:space="preserve">25:28:000000:69611-25/056/2024-1 от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none"/>
              </w:rPr>
              <w:t xml:space="preserve">09.08.2024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none"/>
                <w14:ligatures w14:val="none"/>
              </w:rPr>
            </w:r>
          </w:p>
        </w:tc>
        <w:tc>
          <w:tcPr>
            <w:tcW w:w="10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00000000000000034156 (Е079-2014811)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неработоспособна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ffffff" w:fill="ffffff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W w:w="25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W w:w="8220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ИТОГО: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shd w:val="clear" w:color="ffffff" w:fill="ffffff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shd w:val="clear" w:color="ffffff" w:fill="ffffff"/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shd w:val="clear" w:color="ffffff" w:fill="ffffff"/>
            <w:tcW w:w="2551" w:type="dxa"/>
            <w:vAlign w:val="center"/>
            <w:textDirection w:val="lrTb"/>
            <w:noWrap w:val="false"/>
          </w:tcPr>
          <w:p>
            <w:pPr>
              <w:ind w:left="0" w:right="0" w:hanging="14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</w:tr>
    </w:tbl>
    <w:p>
      <w:pPr>
        <w:contextualSpacing/>
        <w:ind w:left="0" w:right="0" w:firstLine="425"/>
        <w:jc w:val="both"/>
        <w:shd w:val="clear" w:color="auto" w:fill="ffffff"/>
        <w:widowControl w:val="off"/>
        <w:rPr>
          <w:rFonts w:ascii="Times New Roman" w:hAnsi="Times New Roman" w:eastAsia="Times New Roman" w:cs="Times New Roman"/>
          <w:b w:val="0"/>
          <w:bCs w:val="0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white"/>
        </w:rPr>
        <w:t xml:space="preserve"> 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white"/>
        </w:rPr>
        <w:t xml:space="preserve">*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фактическая </w:t>
      </w:r>
      <w:r>
        <w:rPr>
          <w:rFonts w:ascii="Times New Roman" w:hAnsi="Times New Roman" w:eastAsia="Times New Roman" w:cs="Times New Roman"/>
          <w:b w:val="0"/>
          <w:bCs w:val="0"/>
          <w:i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протяженность трубопровода составляет:  диаметр трубы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720 мм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(толщина 8 мм) длина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2034,0 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,   диаметр трубы 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377 мм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(толщина 9 мм), длина 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2034,0 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диаметр трубы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720 мм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(толщина 8 мм) длина 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1562,0 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,   диаметр трубы 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377 мм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(толщина 9 мм), длина 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1579,0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highlight w:val="white"/>
        </w:rPr>
      </w:r>
    </w:p>
    <w:p>
      <w:pPr>
        <w:contextualSpacing/>
        <w:ind w:left="0" w:right="0" w:firstLine="425"/>
        <w:jc w:val="both"/>
        <w:shd w:val="clear" w:color="auto" w:fill="ffffff"/>
        <w:widowControl w:val="off"/>
        <w:rPr>
          <w:rFonts w:ascii="Times New Roman" w:hAnsi="Times New Roman" w:eastAsia="Times New Roman" w:cs="Times New Roman"/>
          <w:b w:val="0"/>
          <w:bCs w:val="0"/>
          <w:i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**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фактическая протяженность трубопровода составляет:  диаметр трубы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8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20 мм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(толщина 9 мм) длина 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264,0 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,   диаметр трубы 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1020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мм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(толщина 10 мм), длина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476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,0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i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i/>
          <w:highlight w:val="white"/>
        </w:rPr>
      </w:r>
    </w:p>
    <w:p>
      <w:pPr>
        <w:contextualSpacing/>
        <w:ind w:left="0" w:right="0" w:firstLine="425"/>
        <w:jc w:val="both"/>
        <w:shd w:val="clear" w:color="auto" w:fill="ffffff"/>
        <w:widowControl w:val="off"/>
        <w:rPr>
          <w:rFonts w:ascii="Times New Roman" w:hAnsi="Times New Roman" w:eastAsia="Times New Roman" w:cs="Times New Roman"/>
          <w:b w:val="0"/>
          <w:bCs w:val="0"/>
          <w:i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***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фактическая протяженность трубопровода составляет:  диаметр трубы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1020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мм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(толщина 10 мм) длина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1354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,0 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i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i/>
          <w:highlight w:val="white"/>
        </w:rPr>
      </w:r>
    </w:p>
    <w:p>
      <w:pPr>
        <w:ind w:firstLine="426"/>
        <w:jc w:val="both"/>
        <w:shd w:val="clear" w:color="auto" w:fill="ffffff"/>
        <w:widowControl w:val="off"/>
        <w:rPr>
          <w:rFonts w:ascii="Times New Roman" w:hAnsi="Times New Roman" w:eastAsia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Общая стоимость недвижимого имущества составляет ______________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(______________) рублей 00 коп., в том числе НДС (20 %)  __________ (_______________)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рублей 00 коп.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tbl>
      <w:tblPr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4674"/>
      </w:tblGrid>
      <w:tr>
        <w:tblPrEx/>
        <w:trPr>
          <w:jc w:val="center"/>
        </w:trPr>
        <w:tc>
          <w:tcPr>
            <w:tcW w:w="5244" w:type="dxa"/>
            <w:textDirection w:val="lrTb"/>
            <w:noWrap w:val="false"/>
          </w:tcPr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ПРОДАВЕЦ: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4674" w:type="dxa"/>
            <w:textDirection w:val="lrTb"/>
            <w:noWrap w:val="false"/>
          </w:tcPr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ПОКУПАТЕЛЬ: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jc w:val="center"/>
          <w:trHeight w:val="757"/>
        </w:trPr>
        <w:tc>
          <w:tcPr>
            <w:tcW w:w="5244" w:type="dxa"/>
            <w:textDirection w:val="lrTb"/>
            <w:noWrap w:val="false"/>
          </w:tcPr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strike w:val="0"/>
                <w:sz w:val="20"/>
                <w:szCs w:val="20"/>
              </w:rPr>
              <w:t xml:space="preserve">________________ /_______________/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4674" w:type="dxa"/>
            <w:textDirection w:val="lrTb"/>
            <w:noWrap w:val="false"/>
          </w:tcPr>
          <w:p>
            <w:pPr>
              <w:jc w:val="both"/>
              <w:spacing w:before="0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________________/____________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</w:tr>
    </w:tbl>
    <w:p>
      <w:pPr>
        <w:ind w:firstLine="426"/>
        <w:jc w:val="both"/>
        <w:shd w:val="clear" w:color="auto" w:fill="ffffff"/>
        <w:widowControl w:val="off"/>
        <w:rPr>
          <w:rFonts w:ascii="Times New Roman" w:hAnsi="Times New Roman" w:cs="Times New Roman"/>
          <w:bCs/>
        </w:rPr>
        <w:sectPr>
          <w:footnotePr/>
          <w:endnotePr/>
          <w:type w:val="nextPage"/>
          <w:pgSz w:w="16838" w:h="11906" w:orient="landscape"/>
          <w:pgMar w:top="567" w:right="851" w:bottom="566" w:left="709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eastAsia="Times New Roman" w:cs="Times New Roman"/>
          <w:bCs/>
        </w:rPr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contextualSpacing/>
        <w:ind w:firstLine="426"/>
        <w:jc w:val="right"/>
        <w:spacing w:before="0" w:line="240" w:lineRule="auto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  <w:t xml:space="preserve">Приложение № 2</w:t>
      </w:r>
      <w:r>
        <w:rPr>
          <w:rFonts w:ascii="Times New Roman" w:hAnsi="Times New Roman" w:cs="Times New Roman"/>
          <w:bCs/>
          <w:sz w:val="16"/>
          <w:szCs w:val="16"/>
        </w:rPr>
      </w:r>
      <w:r>
        <w:rPr>
          <w:rFonts w:ascii="Times New Roman" w:hAnsi="Times New Roman" w:cs="Times New Roman"/>
          <w:bCs/>
          <w:sz w:val="16"/>
          <w:szCs w:val="16"/>
        </w:rPr>
      </w:r>
    </w:p>
    <w:p>
      <w:pPr>
        <w:contextualSpacing/>
        <w:ind w:firstLine="426"/>
        <w:jc w:val="right"/>
        <w:spacing w:before="0" w:line="240" w:lineRule="auto"/>
        <w:shd w:val="clear" w:color="auto" w:fill="ffffff"/>
        <w:widowControl w:val="off"/>
        <w:tabs>
          <w:tab w:val="left" w:pos="7371" w:leader="none"/>
        </w:tabs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  <w:t xml:space="preserve">к договору купли-продажи </w:t>
      </w:r>
      <w:r>
        <w:rPr>
          <w:rFonts w:ascii="Times New Roman" w:hAnsi="Times New Roman" w:cs="Times New Roman"/>
          <w:bCs/>
          <w:sz w:val="16"/>
          <w:szCs w:val="16"/>
        </w:rPr>
      </w:r>
      <w:r>
        <w:rPr>
          <w:rFonts w:ascii="Times New Roman" w:hAnsi="Times New Roman" w:cs="Times New Roman"/>
          <w:bCs/>
          <w:sz w:val="16"/>
          <w:szCs w:val="16"/>
        </w:rPr>
      </w:r>
    </w:p>
    <w:p>
      <w:pPr>
        <w:contextualSpacing/>
        <w:ind w:firstLine="426"/>
        <w:jc w:val="right"/>
        <w:spacing w:before="0" w:line="240" w:lineRule="auto"/>
        <w:shd w:val="clear" w:color="auto" w:fill="ffffff"/>
        <w:widowControl w:val="off"/>
        <w:tabs>
          <w:tab w:val="left" w:pos="7371" w:leader="none"/>
        </w:tabs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  <w:t xml:space="preserve">имущества </w:t>
      </w:r>
      <w:r>
        <w:rPr>
          <w:rFonts w:ascii="Times New Roman" w:hAnsi="Times New Roman" w:eastAsia="Times New Roman" w:cs="Times New Roman"/>
          <w:bCs/>
          <w:sz w:val="16"/>
          <w:szCs w:val="16"/>
        </w:rPr>
        <w:t xml:space="preserve">№ ____________ </w:t>
      </w:r>
      <w:r>
        <w:rPr>
          <w:rFonts w:ascii="Times New Roman" w:hAnsi="Times New Roman" w:cs="Times New Roman"/>
          <w:bCs/>
          <w:sz w:val="16"/>
          <w:szCs w:val="16"/>
        </w:rPr>
      </w:r>
      <w:r>
        <w:rPr>
          <w:rFonts w:ascii="Times New Roman" w:hAnsi="Times New Roman" w:cs="Times New Roman"/>
          <w:bCs/>
          <w:sz w:val="16"/>
          <w:szCs w:val="16"/>
        </w:rPr>
      </w:r>
    </w:p>
    <w:p>
      <w:pPr>
        <w:contextualSpacing/>
        <w:ind w:firstLine="426"/>
        <w:jc w:val="right"/>
        <w:spacing w:before="0" w:line="240" w:lineRule="auto"/>
        <w:shd w:val="clear" w:color="auto" w:fill="ffffff"/>
        <w:widowControl w:val="off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  <w:t xml:space="preserve">от «____» _______ 202__г. </w:t>
      </w:r>
      <w:r>
        <w:rPr>
          <w:rFonts w:ascii="Times New Roman" w:hAnsi="Times New Roman" w:cs="Times New Roman"/>
          <w:bCs/>
          <w:sz w:val="16"/>
          <w:szCs w:val="16"/>
        </w:rPr>
      </w:r>
      <w:r>
        <w:rPr>
          <w:rFonts w:ascii="Times New Roman" w:hAnsi="Times New Roman" w:cs="Times New Roman"/>
          <w:bCs/>
          <w:sz w:val="16"/>
          <w:szCs w:val="16"/>
        </w:rPr>
      </w:r>
    </w:p>
    <w:p>
      <w:pPr>
        <w:ind w:firstLine="426"/>
        <w:jc w:val="center"/>
        <w:spacing w:before="0"/>
        <w:shd w:val="clear" w:color="auto" w:fill="ffffff"/>
        <w:widowControl w:val="off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Акт приема-передачи недвижимого имущества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426"/>
        <w:jc w:val="center"/>
        <w:spacing w:before="0"/>
        <w:shd w:val="clear" w:color="auto" w:fill="ffffff"/>
        <w:widowControl w:val="off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(ФОРМА)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firstLine="426"/>
        <w:jc w:val="both"/>
        <w:shd w:val="clear" w:color="auto" w:fill="ffffff"/>
        <w:widowControl w:val="off"/>
        <w:tabs>
          <w:tab w:val="left" w:pos="6458" w:leader="none"/>
          <w:tab w:val="left" w:pos="7106" w:leader="underscore"/>
          <w:tab w:val="left" w:pos="8726" w:leader="underscor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г. Партизанск        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                                                                  «____» __________ 2025 г.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426"/>
        <w:jc w:val="both"/>
        <w:shd w:val="clear" w:color="auto" w:fill="ffffff"/>
        <w:widowControl w:val="off"/>
        <w:tabs>
          <w:tab w:val="left" w:pos="8364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426"/>
        <w:jc w:val="both"/>
        <w:rPr>
          <w:rFonts w:ascii="Times New Roman" w:hAnsi="Times New Roman" w:eastAsia="Times New Roman" w:cs="Times New Roman"/>
          <w:b w:val="0"/>
          <w:bCs w:val="0"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кционерное общество «Дальневосточная генерирующая компания»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(АО «ДГК»),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именуемое в дальнейшем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Продавец»,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в лице ___________________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, действующего на основании _______________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с одной стороны, и _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__________________________, именуемое в дальнейшем «Покупатель», в лице  ___________________________, действующего на основании________________________, с другой стороны, составили настоящий акт о том, что «Продавец» сдал, а «Покупатель»  принял следующее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недвижимое имущество: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14:ligatures w14:val="none"/>
        </w:rPr>
      </w:r>
    </w:p>
    <w:p>
      <w:pPr>
        <w:ind w:firstLine="426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</w:r>
    </w:p>
    <w:tbl>
      <w:tblPr>
        <w:tblW w:w="9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976"/>
        <w:gridCol w:w="2410"/>
        <w:gridCol w:w="2418"/>
        <w:gridCol w:w="2259"/>
      </w:tblGrid>
      <w:tr>
        <w:tblPrEx/>
        <w:trPr>
          <w:jc w:val="center"/>
          <w:tblHeader/>
        </w:trPr>
        <w:tc>
          <w:tcPr>
            <w:shd w:val="clear" w:color="ffffff" w:fill="ffffff"/>
            <w:tcW w:w="57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shd w:val="clear" w:color="ffffff" w:fill="ffffff"/>
            <w:tcW w:w="197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Наименование  объекта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Адрес местонахождения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  <w:p>
            <w:pPr>
              <w:contextualSpacing/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shd w:val="clear" w:color="ffffff" w:fill="ffffff"/>
            <w:tcW w:w="24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Кадастровый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  <w:p>
            <w:pPr>
              <w:contextualSpacing/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номер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shd w:val="clear" w:color="ffffff" w:fill="ffffff"/>
            <w:tcW w:w="225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tabs>
                <w:tab w:val="left" w:pos="709" w:leader="none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Цена, рублей с НДС 20%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ffffff" w:fill="ffffff"/>
            <w:tcW w:w="57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709" w:leader="none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19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Паротрасса от ВТЭЦ-2 (лит. Т8)</w:t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г.Владивосток, Восточный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241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25:28:000000: 69600</w:t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r>
          </w:p>
        </w:tc>
        <w:tc>
          <w:tcPr>
            <w:shd w:val="clear" w:color="ffffff" w:fill="ffffff"/>
            <w:tcW w:w="2259" w:type="dxa"/>
            <w:vAlign w:val="center"/>
            <w:vMerge w:val="restart"/>
            <w:textDirection w:val="lrTb"/>
            <w:noWrap w:val="false"/>
          </w:tcPr>
          <w:p>
            <w:pPr>
              <w:ind w:firstLine="426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ffffff" w:fill="ffffff"/>
            <w:tcW w:w="57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709" w:leader="none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19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Теплотрасса (лит.Т 14)</w:t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r>
          </w:p>
        </w:tc>
        <w:tc>
          <w:tcPr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W w:w="241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25:28:000000: 69605</w:t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r>
          </w:p>
        </w:tc>
        <w:tc>
          <w:tcPr>
            <w:shd w:val="clear" w:color="ffffff" w:fill="ffffff"/>
            <w:tcW w:w="2259" w:type="dxa"/>
            <w:vAlign w:val="center"/>
            <w:vMerge w:val="restart"/>
            <w:textDirection w:val="lrTb"/>
            <w:noWrap w:val="false"/>
          </w:tcPr>
          <w:p>
            <w:pPr>
              <w:ind w:firstLine="426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57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9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Теплосеть от ВТЭЦ-2 (лит. Т20)</w:t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W w:w="24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25:28:000000: 69611</w:t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r>
          </w:p>
        </w:tc>
        <w:tc>
          <w:tcPr>
            <w:shd w:val="clear" w:color="ffffff" w:fill="ffffff"/>
            <w:tcW w:w="2259" w:type="dxa"/>
            <w:vAlign w:val="center"/>
            <w:textDirection w:val="lrTb"/>
            <w:noWrap w:val="false"/>
          </w:tcPr>
          <w:p>
            <w:pPr>
              <w:ind w:firstLine="4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ind w:right="11" w:firstLine="426"/>
        <w:jc w:val="both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</w:r>
    </w:p>
    <w:p>
      <w:pPr>
        <w:ind w:right="11" w:firstLine="426"/>
        <w:jc w:val="both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 w:eastAsia="Times New Roman" w:cs="Times New Roman"/>
          <w:color w:val="000000"/>
          <w:spacing w:val="-4"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Указанное Имущес</w:t>
      </w:r>
      <w:r>
        <w:rPr>
          <w:rFonts w:ascii="Times New Roman" w:hAnsi="Times New Roman" w:eastAsia="Times New Roman" w:cs="Times New Roman"/>
          <w:spacing w:val="-4"/>
          <w:sz w:val="22"/>
          <w:szCs w:val="22"/>
        </w:rPr>
        <w:t xml:space="preserve">тво осмотрено Сторонами</w:t>
      </w:r>
      <w:r>
        <w:rPr>
          <w:rFonts w:ascii="Times New Roman" w:hAnsi="Times New Roman" w:eastAsia="Times New Roman" w:cs="Times New Roman"/>
          <w:color w:val="000000"/>
          <w:spacing w:val="-4"/>
          <w:sz w:val="22"/>
          <w:szCs w:val="22"/>
        </w:rPr>
        <w:t xml:space="preserve">, претензии к состоянию Имущества со стороны Покупателя,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2"/>
          <w:szCs w:val="22"/>
        </w:rPr>
        <w:t xml:space="preserve"> не имеется.</w:t>
      </w:r>
      <w:r>
        <w:rPr>
          <w:rFonts w:ascii="Times New Roman" w:hAnsi="Times New Roman" w:eastAsia="Times New Roman" w:cs="Times New Roman"/>
          <w:color w:val="000000"/>
          <w:spacing w:val="-4"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2"/>
          <w:szCs w:val="22"/>
          <w:highlight w:val="none"/>
        </w:rPr>
      </w:r>
    </w:p>
    <w:p>
      <w:pPr>
        <w:ind w:firstLine="426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ПОДПИСИ СТОРОН:</w:t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059"/>
        <w:gridCol w:w="4688"/>
      </w:tblGrid>
      <w:tr>
        <w:tblPrEx/>
        <w:trPr/>
        <w:tc>
          <w:tcPr>
            <w:tcW w:w="5059" w:type="dxa"/>
            <w:textDirection w:val="lrTb"/>
            <w:noWrap w:val="false"/>
          </w:tcPr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ПРОДАВЕЦ: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4688" w:type="dxa"/>
            <w:textDirection w:val="lrTb"/>
            <w:noWrap w:val="false"/>
          </w:tcPr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ПОКУПАТЕЛЬ: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233"/>
        </w:trPr>
        <w:tc>
          <w:tcPr>
            <w:tcW w:w="5059" w:type="dxa"/>
            <w:textDirection w:val="lrTb"/>
            <w:noWrap w:val="false"/>
          </w:tcPr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________________/_________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88" w:type="dxa"/>
            <w:textDirection w:val="lrTb"/>
            <w:noWrap w:val="false"/>
          </w:tcPr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______________/_____________/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</w:tbl>
    <w:p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Форма согласована: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4816"/>
      </w:tblGrid>
      <w:tr>
        <w:tblPrEx/>
        <w:trPr>
          <w:jc w:val="center"/>
        </w:trPr>
        <w:tc>
          <w:tcPr>
            <w:tcW w:w="5244" w:type="dxa"/>
            <w:textDirection w:val="lrTb"/>
            <w:noWrap w:val="false"/>
          </w:tcPr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ПРОДАВЕЦ: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4816" w:type="dxa"/>
            <w:textDirection w:val="lrTb"/>
            <w:noWrap w:val="false"/>
          </w:tcPr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ПОКУПАТЕЛЬ: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5244" w:type="dxa"/>
            <w:textDirection w:val="lrTb"/>
            <w:noWrap w:val="false"/>
          </w:tcPr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4816" w:type="dxa"/>
            <w:textDirection w:val="lrTb"/>
            <w:noWrap w:val="false"/>
          </w:tcPr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5244" w:type="dxa"/>
            <w:textDirection w:val="lrTb"/>
            <w:noWrap w:val="false"/>
          </w:tcPr>
          <w:p>
            <w:pPr>
              <w:contextualSpacing/>
              <w:jc w:val="both"/>
              <w:spacing w:before="0" w:after="160" w:line="283" w:lineRule="exact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strike w:val="0"/>
                <w:sz w:val="20"/>
                <w:szCs w:val="20"/>
              </w:rPr>
              <w:t xml:space="preserve">________________ /_____________/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4816" w:type="dxa"/>
            <w:textDirection w:val="lrTb"/>
            <w:noWrap w:val="false"/>
          </w:tcPr>
          <w:p>
            <w:pPr>
              <w:jc w:val="both"/>
              <w:spacing w:before="0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________________/______________/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5244" w:type="dxa"/>
            <w:vMerge w:val="restart"/>
            <w:textDirection w:val="lrTb"/>
            <w:noWrap w:val="false"/>
          </w:tcPr>
          <w:p>
            <w:pPr>
              <w:ind w:firstLine="426"/>
              <w:jc w:val="both"/>
              <w:widowControl w:val="o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4816" w:type="dxa"/>
            <w:vMerge w:val="restart"/>
            <w:textDirection w:val="lrTb"/>
            <w:noWrap w:val="false"/>
          </w:tcPr>
          <w:p>
            <w:r/>
            <w:r/>
          </w:p>
        </w:tc>
      </w:tr>
    </w:tbl>
    <w:p>
      <w:pPr>
        <w:ind w:firstLine="426"/>
        <w:jc w:val="both"/>
        <w:rPr>
          <w:rFonts w:ascii="Times New Roman" w:hAnsi="Times New Roman" w:cs="Times New Roman"/>
          <w:sz w:val="24"/>
          <w:szCs w:val="24"/>
        </w:rPr>
        <w:sectPr>
          <w:footnotePr/>
          <w:endnotePr/>
          <w:type w:val="nextPage"/>
          <w:pgSz w:w="11906" w:h="16838" w:orient="portrait"/>
          <w:pgMar w:top="851" w:right="1134" w:bottom="0" w:left="1134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r/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1134" w:right="567" w:bottom="1418" w:left="1134" w:header="680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libri">
    <w:panose1 w:val="020F0502020204030204"/>
  </w:font>
  <w:font w:name="Courier New">
    <w:panose1 w:val="02070309020205020404"/>
  </w:font>
  <w:font w:name="Geneva">
    <w:panose1 w:val="00000500000000000000"/>
  </w:font>
  <w:font w:name="Geneva CY">
    <w:panose1 w:val="000005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tabs>
        <w:tab w:val="right" w:pos="10260" w:leader="none"/>
      </w:tabs>
      <w:rPr>
        <w:sz w:val="20"/>
      </w:rPr>
    </w:pPr>
    <w:r>
      <w:rPr>
        <w:sz w:val="20"/>
      </w:rPr>
      <w:tab/>
    </w: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PAGE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53</w:t>
    </w:r>
    <w:r>
      <w:rPr>
        <w:i/>
        <w:sz w:val="24"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NUMPAGES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57</w:t>
    </w:r>
    <w:r>
      <w:rPr>
        <w:i/>
        <w:sz w:val="24"/>
        <w:szCs w:val="24"/>
      </w:rPr>
      <w:fldChar w:fldCharType="end"/>
    </w:r>
    <w:r>
      <w:rPr>
        <w:sz w:val="20"/>
      </w:rPr>
    </w:r>
    <w:r>
      <w:rPr>
        <w:sz w:val="20"/>
      </w:rPr>
    </w:r>
  </w:p>
  <w:p>
    <w:pPr>
      <w:pStyle w:val="979"/>
    </w:pPr>
    <w:r/>
    <w:r/>
  </w:p>
  <w:p>
    <w:pPr>
      <w:pStyle w:val="97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right" w:pos="10260" w:leader="none"/>
      </w:tabs>
      <w:rPr>
        <w:i/>
        <w:sz w:val="24"/>
        <w:szCs w:val="24"/>
      </w:rPr>
    </w:pPr>
    <w:r>
      <w:rPr>
        <w:sz w:val="20"/>
      </w:rPr>
      <w:tab/>
    </w:r>
    <w:r>
      <w:rPr>
        <w:i/>
        <w:sz w:val="24"/>
        <w:szCs w:val="24"/>
      </w:rPr>
    </w:r>
    <w:r>
      <w:rPr>
        <w:i/>
        <w:sz w:val="24"/>
        <w:szCs w:val="24"/>
      </w:rPr>
    </w:r>
  </w:p>
  <w:p>
    <w:pPr>
      <w:tabs>
        <w:tab w:val="right" w:pos="10260" w:leader="none"/>
      </w:tabs>
      <w:rPr>
        <w:i/>
        <w:sz w:val="24"/>
        <w:szCs w:val="24"/>
      </w:rPr>
    </w:pPr>
    <w:r>
      <w:rPr>
        <w:i/>
        <w:sz w:val="24"/>
        <w:szCs w:val="24"/>
      </w:rPr>
    </w:r>
    <w:r>
      <w:rPr>
        <w:i/>
        <w:sz w:val="24"/>
        <w:szCs w:val="24"/>
      </w:rPr>
    </w:r>
    <w:r>
      <w:rPr>
        <w:i/>
        <w:sz w:val="24"/>
        <w:szCs w:val="24"/>
      </w:rPr>
    </w:r>
  </w:p>
  <w:p>
    <w:pPr>
      <w:jc w:val="right"/>
      <w:tabs>
        <w:tab w:val="right" w:pos="10260" w:leader="none"/>
      </w:tabs>
      <w:rPr>
        <w:sz w:val="20"/>
      </w:rPr>
    </w:pP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PAGE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51</w:t>
    </w:r>
    <w:r>
      <w:rPr>
        <w:i/>
        <w:sz w:val="24"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NUMPAGES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57</w:t>
    </w:r>
    <w:r>
      <w:rPr>
        <w:i/>
        <w:sz w:val="24"/>
        <w:szCs w:val="24"/>
      </w:rPr>
      <w:fldChar w:fldCharType="end"/>
    </w:r>
    <w:r>
      <w:rPr>
        <w:sz w:val="20"/>
      </w:rPr>
    </w:r>
    <w:r>
      <w:rPr>
        <w:sz w:val="20"/>
      </w:rPr>
    </w:r>
  </w:p>
  <w:p>
    <w:pPr>
      <w:pStyle w:val="9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4875" w:hanging="48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5115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5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835" w:hanging="1440"/>
      </w:pPr>
      <w:rPr>
        <w:rFonts w:hint="default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47" w:hanging="480"/>
      </w:pPr>
      <w:rPr>
        <w:rFonts w:hint="default"/>
      </w:rPr>
    </w:lvl>
    <w:lvl w:ilvl="2">
      <w:start w:val="2"/>
      <w:numFmt w:val="decimal"/>
      <w:isLgl w:val="false"/>
      <w:suff w:val="tab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pStyle w:val="1053"/>
      <w:isLgl w:val="false"/>
      <w:suff w:val="tab"/>
      <w:lvlText w:val="%1. "/>
      <w:lvlJc w:val="left"/>
      <w:pPr>
        <w:ind w:left="432" w:hanging="432"/>
        <w:tabs>
          <w:tab w:val="num" w:pos="45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 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ind w:left="5475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95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6065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154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7015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213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-27931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-22816" w:hanging="1800"/>
      </w:pPr>
      <w:rPr>
        <w:rFonts w:hint="default"/>
        <w:color w:val="auto"/>
      </w:r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583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95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642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5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1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13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-2793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-22816" w:hanging="1800"/>
      </w:pPr>
      <w:rPr>
        <w:rFonts w:hint="default"/>
      </w:rPr>
    </w:lvl>
  </w:abstractNum>
  <w:abstractNum w:abstractNumId="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7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9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1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3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5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7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9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15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pStyle w:val="816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decimal"/>
      <w:pStyle w:val="817"/>
      <w:isLgl w:val="false"/>
      <w:suff w:val="tab"/>
      <w:lvlText w:val="%1.%2"/>
      <w:lvlJc w:val="left"/>
      <w:pPr>
        <w:ind w:left="1560" w:hanging="1134"/>
        <w:tabs>
          <w:tab w:val="num" w:pos="1560" w:leader="none"/>
        </w:tabs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pStyle w:val="1003"/>
      <w:isLgl w:val="false"/>
      <w:suff w:val="tab"/>
      <w:lvlText w:val="%1.%2.%3"/>
      <w:lvlJc w:val="left"/>
      <w:pPr>
        <w:ind w:left="4962" w:hanging="1134"/>
        <w:tabs>
          <w:tab w:val="num" w:pos="4962" w:leader="none"/>
        </w:tabs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1006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4">
      <w:start w:val="1"/>
      <w:numFmt w:val="russianLower"/>
      <w:pStyle w:val="1012"/>
      <w:isLgl w:val="false"/>
      <w:suff w:val="tab"/>
      <w:lvlText w:val="%5)"/>
      <w:lvlJc w:val="left"/>
      <w:pPr>
        <w:ind w:left="5104" w:hanging="567"/>
        <w:tabs>
          <w:tab w:val="num" w:pos="5104" w:leader="none"/>
        </w:tabs>
      </w:pPr>
      <w:rPr>
        <w:rFonts w:hint="default"/>
        <w:b w:val="0"/>
        <w:i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pStyle w:val="1046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34" w:hanging="567"/>
        <w:tabs>
          <w:tab w:val="num" w:pos="1134" w:leader="none"/>
        </w:tabs>
      </w:pPr>
      <w:rPr>
        <w:rFonts w:hint="default" w:ascii="Times New Roman" w:hAnsi="Times New Roman" w:cs="Times New Roman"/>
        <w:b w:val="0"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993" w:hanging="851"/>
        <w:tabs>
          <w:tab w:val="num" w:pos="993" w:leader="none"/>
        </w:tabs>
      </w:pPr>
      <w:rPr>
        <w:rFonts w:hint="default"/>
        <w:b w:val="0"/>
        <w:strike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02" w:hanging="567"/>
        <w:tabs>
          <w:tab w:val="num" w:pos="1702" w:leader="none"/>
        </w:tabs>
      </w:pPr>
      <w:rPr>
        <w:rFonts w:hint="default"/>
        <w:b w:val="0"/>
      </w:rPr>
    </w:lvl>
    <w:lvl w:ilvl="4">
      <w:start w:val="1"/>
      <w:numFmt w:val="lowerLetter"/>
      <w:isLgl w:val="false"/>
      <w:suff w:val="tab"/>
      <w:lvlText w:val="%5)"/>
      <w:lvlJc w:val="left"/>
      <w:pPr>
        <w:ind w:left="1576" w:hanging="1008"/>
        <w:tabs>
          <w:tab w:val="num" w:pos="157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592" w:hanging="1152"/>
        <w:tabs>
          <w:tab w:val="num" w:pos="259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36" w:hanging="1296"/>
        <w:tabs>
          <w:tab w:val="num" w:pos="273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80" w:hanging="1440"/>
        <w:tabs>
          <w:tab w:val="num" w:pos="288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24" w:hanging="1584"/>
        <w:tabs>
          <w:tab w:val="num" w:pos="3024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532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73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974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10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64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948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284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856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decimal"/>
      <w:isLgl/>
      <w:suff w:val="tab"/>
      <w:lvlText w:val="%1.%2."/>
      <w:lvlJc w:val="left"/>
      <w:pPr>
        <w:ind w:left="1331" w:hanging="480"/>
      </w:pPr>
    </w:lvl>
    <w:lvl w:ilvl="2">
      <w:start w:val="1"/>
      <w:numFmt w:val="decimal"/>
      <w:isLgl/>
      <w:suff w:val="tab"/>
      <w:lvlText w:val="%1.%2.%3."/>
      <w:lvlJc w:val="left"/>
      <w:pPr>
        <w:ind w:left="862" w:hanging="720"/>
      </w:pPr>
      <w:rPr>
        <w:b w:val="0"/>
        <w:sz w:val="24"/>
        <w:szCs w:val="24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</w:lvl>
    <w:lvl w:ilvl="6">
      <w:start w:val="1"/>
      <w:numFmt w:val="decimal"/>
      <w:isLgl/>
      <w:suff w:val="tab"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367" w:hanging="180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2">
      <w:start w:val="1"/>
      <w:numFmt w:val="decimal"/>
      <w:pStyle w:val="818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3">
      <w:start w:val="1"/>
      <w:numFmt w:val="decimal"/>
      <w:pStyle w:val="819"/>
      <w:isLgl w:val="false"/>
      <w:suff w:val="tab"/>
      <w:lvlText w:val="%1.%2.%3.%4"/>
      <w:lvlJc w:val="left"/>
      <w:pPr>
        <w:ind w:left="1701" w:hanging="1134"/>
        <w:tabs>
          <w:tab w:val="num" w:pos="170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pStyle w:val="820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821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822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823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824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5824" w:hanging="360"/>
      </w:pPr>
      <w:rPr>
        <w:rFonts w:hint="default"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654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726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798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870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942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1014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1086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11584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4875" w:hanging="48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5115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5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835" w:hanging="1440"/>
      </w:pPr>
      <w:rPr>
        <w:rFonts w:hint="default"/>
      </w:rPr>
    </w:lvl>
  </w:abstractNum>
  <w:abstractNum w:abstractNumId="2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7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9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1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3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5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7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9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15" w:hanging="180"/>
      </w:pPr>
    </w:lvl>
  </w:abstractNum>
  <w:abstractNum w:abstractNumId="27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ind w:left="5475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95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6065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154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7015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213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-27931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-22816" w:hanging="1800"/>
      </w:pPr>
      <w:rPr>
        <w:rFonts w:hint="default"/>
        <w:color w:val="auto"/>
      </w:r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583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95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642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5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1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13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-2793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-22816" w:hanging="1800"/>
      </w:pPr>
      <w:rPr>
        <w:rFonts w:hint="default"/>
      </w:rPr>
    </w:lvl>
  </w:abstractNum>
  <w:abstractNum w:abstractNumId="29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532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73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974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10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64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948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284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856" w:hanging="1800"/>
      </w:pPr>
      <w:rPr>
        <w:rFonts w:hint="default"/>
      </w:rPr>
    </w:lvl>
  </w:abstractNum>
  <w:abstractNum w:abstractNumId="3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47" w:hanging="480"/>
      </w:pPr>
      <w:rPr>
        <w:rFonts w:hint="default"/>
      </w:rPr>
    </w:lvl>
    <w:lvl w:ilvl="2">
      <w:start w:val="2"/>
      <w:numFmt w:val="decimal"/>
      <w:isLgl w:val="false"/>
      <w:suff w:val="tab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9"/>
  </w:num>
  <w:num w:numId="4">
    <w:abstractNumId w:val="9"/>
  </w:num>
  <w:num w:numId="5">
    <w:abstractNumId w:val="10"/>
  </w:num>
  <w:num w:numId="6">
    <w:abstractNumId w:val="3"/>
  </w:num>
  <w:num w:numId="7">
    <w:abstractNumId w:val="1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20"/>
  </w:num>
  <w:num w:numId="11">
    <w:abstractNumId w:val="18"/>
  </w:num>
  <w:num w:numId="12">
    <w:abstractNumId w:val="1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14"/>
  </w:num>
  <w:num w:numId="23">
    <w:abstractNumId w:val="16"/>
  </w:num>
  <w:num w:numId="24">
    <w:abstractNumId w:val="9"/>
  </w:num>
  <w:num w:numId="25">
    <w:abstractNumId w:val="1"/>
  </w:num>
  <w:num w:numId="26">
    <w:abstractNumId w:val="7"/>
  </w:num>
  <w:num w:numId="27">
    <w:abstractNumId w:val="5"/>
  </w:num>
  <w:num w:numId="28">
    <w:abstractNumId w:val="6"/>
  </w:num>
  <w:num w:numId="29">
    <w:abstractNumId w:val="13"/>
  </w:num>
  <w:num w:numId="30">
    <w:abstractNumId w:val="4"/>
  </w:num>
  <w:num w:numId="31">
    <w:abstractNumId w:val="2"/>
  </w:num>
  <w:num w:numId="32">
    <w:abstractNumId w:val="9"/>
  </w:num>
  <w:num w:numId="33">
    <w:abstractNumId w:val="9"/>
  </w:num>
  <w:num w:numId="34">
    <w:abstractNumId w:val="8"/>
  </w:num>
  <w:num w:numId="35">
    <w:abstractNumId w:val="0"/>
  </w:num>
  <w:num w:numId="36">
    <w:abstractNumId w:val="21"/>
  </w:num>
  <w:num w:numId="37">
    <w:abstractNumId w:val="22"/>
  </w:num>
  <w:num w:numId="38">
    <w:abstractNumId w:val="23"/>
  </w:num>
  <w:num w:numId="39">
    <w:abstractNumId w:val="24"/>
  </w:num>
  <w:num w:numId="40">
    <w:abstractNumId w:val="25"/>
  </w:num>
  <w:num w:numId="41">
    <w:abstractNumId w:val="26"/>
  </w:num>
  <w:num w:numId="42">
    <w:abstractNumId w:val="27"/>
  </w:num>
  <w:num w:numId="43">
    <w:abstractNumId w:val="28"/>
  </w:num>
  <w:num w:numId="44">
    <w:abstractNumId w:val="29"/>
  </w:num>
  <w:num w:numId="45">
    <w:abstractNumId w:val="30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sect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6"/>
        <w:szCs w:val="26"/>
        <w:lang w:val="ru-RU" w:eastAsia="ru-RU" w:bidi="ar-SA"/>
      </w:rPr>
    </w:rPrDefault>
    <w:pPrDefault>
      <w:pPr>
        <w:jc w:val="both"/>
        <w:spacing w:before="120" w:beforeAutospacing="0" w:after="0" w:afterAutospacing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3">
    <w:name w:val="Heading 1 Char"/>
    <w:basedOn w:val="825"/>
    <w:link w:val="816"/>
    <w:uiPriority w:val="9"/>
    <w:rPr>
      <w:rFonts w:ascii="Arial" w:hAnsi="Arial" w:eastAsia="Arial" w:cs="Arial"/>
      <w:sz w:val="40"/>
      <w:szCs w:val="40"/>
    </w:rPr>
  </w:style>
  <w:style w:type="character" w:styleId="804">
    <w:name w:val="Heading 3 Char"/>
    <w:basedOn w:val="825"/>
    <w:link w:val="818"/>
    <w:uiPriority w:val="9"/>
    <w:rPr>
      <w:rFonts w:ascii="Arial" w:hAnsi="Arial" w:eastAsia="Arial" w:cs="Arial"/>
      <w:sz w:val="30"/>
      <w:szCs w:val="30"/>
    </w:rPr>
  </w:style>
  <w:style w:type="character" w:styleId="805">
    <w:name w:val="Heading 4 Char"/>
    <w:basedOn w:val="825"/>
    <w:link w:val="819"/>
    <w:uiPriority w:val="9"/>
    <w:rPr>
      <w:rFonts w:ascii="Arial" w:hAnsi="Arial" w:eastAsia="Arial" w:cs="Arial"/>
      <w:b/>
      <w:bCs/>
      <w:sz w:val="26"/>
      <w:szCs w:val="26"/>
    </w:rPr>
  </w:style>
  <w:style w:type="character" w:styleId="806">
    <w:name w:val="Heading 5 Char"/>
    <w:basedOn w:val="825"/>
    <w:link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07">
    <w:name w:val="Heading 6 Char"/>
    <w:basedOn w:val="825"/>
    <w:link w:val="821"/>
    <w:uiPriority w:val="9"/>
    <w:rPr>
      <w:rFonts w:ascii="Arial" w:hAnsi="Arial" w:eastAsia="Arial" w:cs="Arial"/>
      <w:b/>
      <w:bCs/>
      <w:sz w:val="22"/>
      <w:szCs w:val="22"/>
    </w:rPr>
  </w:style>
  <w:style w:type="character" w:styleId="808">
    <w:name w:val="Heading 7 Char"/>
    <w:basedOn w:val="825"/>
    <w:link w:val="8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9">
    <w:name w:val="Heading 8 Char"/>
    <w:basedOn w:val="825"/>
    <w:link w:val="823"/>
    <w:uiPriority w:val="9"/>
    <w:rPr>
      <w:rFonts w:ascii="Arial" w:hAnsi="Arial" w:eastAsia="Arial" w:cs="Arial"/>
      <w:i/>
      <w:iCs/>
      <w:sz w:val="22"/>
      <w:szCs w:val="22"/>
    </w:rPr>
  </w:style>
  <w:style w:type="character" w:styleId="810">
    <w:name w:val="Heading 9 Char"/>
    <w:basedOn w:val="825"/>
    <w:link w:val="824"/>
    <w:uiPriority w:val="9"/>
    <w:rPr>
      <w:rFonts w:ascii="Arial" w:hAnsi="Arial" w:eastAsia="Arial" w:cs="Arial"/>
      <w:i/>
      <w:iCs/>
      <w:sz w:val="21"/>
      <w:szCs w:val="21"/>
    </w:rPr>
  </w:style>
  <w:style w:type="character" w:styleId="811">
    <w:name w:val="Subtitle Char"/>
    <w:basedOn w:val="825"/>
    <w:link w:val="839"/>
    <w:uiPriority w:val="11"/>
    <w:rPr>
      <w:sz w:val="24"/>
      <w:szCs w:val="24"/>
    </w:rPr>
  </w:style>
  <w:style w:type="character" w:styleId="812">
    <w:name w:val="Quote Char"/>
    <w:link w:val="841"/>
    <w:uiPriority w:val="29"/>
    <w:rPr>
      <w:i/>
    </w:rPr>
  </w:style>
  <w:style w:type="character" w:styleId="813">
    <w:name w:val="Intense Quote Char"/>
    <w:link w:val="843"/>
    <w:uiPriority w:val="30"/>
    <w:rPr>
      <w:i/>
    </w:rPr>
  </w:style>
  <w:style w:type="character" w:styleId="814">
    <w:name w:val="Header Char"/>
    <w:basedOn w:val="825"/>
    <w:link w:val="978"/>
    <w:uiPriority w:val="99"/>
  </w:style>
  <w:style w:type="paragraph" w:styleId="815" w:default="1">
    <w:name w:val="Normal"/>
    <w:qFormat/>
  </w:style>
  <w:style w:type="paragraph" w:styleId="816">
    <w:name w:val="Heading 1"/>
    <w:basedOn w:val="815"/>
    <w:next w:val="815"/>
    <w:link w:val="828"/>
    <w:qFormat/>
    <w:pPr>
      <w:numPr>
        <w:ilvl w:val="0"/>
        <w:numId w:val="4"/>
      </w:numPr>
      <w:jc w:val="left"/>
      <w:keepLines/>
      <w:keepNext/>
      <w:pageBreakBefore/>
      <w:spacing w:before="480" w:after="240"/>
      <w:outlineLvl w:val="0"/>
    </w:pPr>
    <w:rPr>
      <w:rFonts w:ascii="Arial" w:hAnsi="Arial"/>
      <w:b/>
      <w:sz w:val="40"/>
    </w:rPr>
  </w:style>
  <w:style w:type="paragraph" w:styleId="817">
    <w:name w:val="Heading 2"/>
    <w:basedOn w:val="815"/>
    <w:next w:val="815"/>
    <w:link w:val="977"/>
    <w:qFormat/>
    <w:pPr>
      <w:numPr>
        <w:ilvl w:val="1"/>
        <w:numId w:val="4"/>
      </w:numPr>
      <w:jc w:val="left"/>
      <w:keepNext/>
      <w:spacing w:before="360" w:after="120"/>
      <w:outlineLvl w:val="1"/>
    </w:pPr>
    <w:rPr>
      <w:b/>
      <w:sz w:val="32"/>
    </w:rPr>
  </w:style>
  <w:style w:type="paragraph" w:styleId="818">
    <w:name w:val="Heading 3"/>
    <w:basedOn w:val="815"/>
    <w:next w:val="815"/>
    <w:link w:val="830"/>
    <w:qFormat/>
    <w:pPr>
      <w:numPr>
        <w:ilvl w:val="2"/>
        <w:numId w:val="1"/>
      </w:numPr>
      <w:jc w:val="left"/>
      <w:keepNext/>
      <w:spacing w:after="120"/>
      <w:outlineLvl w:val="2"/>
    </w:pPr>
    <w:rPr>
      <w:b/>
    </w:rPr>
  </w:style>
  <w:style w:type="paragraph" w:styleId="819">
    <w:name w:val="Heading 4"/>
    <w:basedOn w:val="815"/>
    <w:next w:val="815"/>
    <w:link w:val="831"/>
    <w:qFormat/>
    <w:pPr>
      <w:numPr>
        <w:ilvl w:val="3"/>
        <w:numId w:val="1"/>
      </w:numPr>
      <w:keepNext/>
      <w:spacing w:before="240" w:after="120"/>
      <w:tabs>
        <w:tab w:val="left" w:pos="1134" w:leader="none"/>
      </w:tabs>
      <w:outlineLvl w:val="3"/>
    </w:pPr>
    <w:rPr>
      <w:b/>
      <w:i/>
    </w:rPr>
  </w:style>
  <w:style w:type="paragraph" w:styleId="820">
    <w:name w:val="Heading 5"/>
    <w:basedOn w:val="815"/>
    <w:next w:val="815"/>
    <w:link w:val="832"/>
    <w:qFormat/>
    <w:pPr>
      <w:numPr>
        <w:ilvl w:val="4"/>
        <w:numId w:val="2"/>
      </w:numPr>
      <w:ind w:left="0" w:firstLine="0"/>
      <w:keepNext/>
      <w:spacing w:before="60"/>
      <w:tabs>
        <w:tab w:val="num" w:pos="360" w:leader="none"/>
        <w:tab w:val="clear" w:pos="1008" w:leader="none"/>
      </w:tabs>
      <w:outlineLvl w:val="4"/>
    </w:pPr>
    <w:rPr>
      <w:b/>
    </w:rPr>
  </w:style>
  <w:style w:type="paragraph" w:styleId="821">
    <w:name w:val="Heading 6"/>
    <w:basedOn w:val="815"/>
    <w:next w:val="815"/>
    <w:link w:val="833"/>
    <w:qFormat/>
    <w:pPr>
      <w:numPr>
        <w:ilvl w:val="5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152" w:leader="none"/>
      </w:tabs>
      <w:outlineLvl w:val="5"/>
    </w:pPr>
    <w:rPr>
      <w:b/>
      <w:sz w:val="22"/>
    </w:rPr>
  </w:style>
  <w:style w:type="paragraph" w:styleId="822">
    <w:name w:val="Heading 7"/>
    <w:basedOn w:val="815"/>
    <w:next w:val="815"/>
    <w:link w:val="834"/>
    <w:qFormat/>
    <w:pPr>
      <w:numPr>
        <w:ilvl w:val="6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296" w:leader="none"/>
      </w:tabs>
      <w:outlineLvl w:val="6"/>
    </w:pPr>
  </w:style>
  <w:style w:type="paragraph" w:styleId="823">
    <w:name w:val="Heading 8"/>
    <w:basedOn w:val="815"/>
    <w:next w:val="815"/>
    <w:link w:val="835"/>
    <w:qFormat/>
    <w:pPr>
      <w:numPr>
        <w:ilvl w:val="7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440" w:leader="none"/>
      </w:tabs>
      <w:outlineLvl w:val="7"/>
    </w:pPr>
    <w:rPr>
      <w:i/>
    </w:rPr>
  </w:style>
  <w:style w:type="paragraph" w:styleId="824">
    <w:name w:val="Heading 9"/>
    <w:basedOn w:val="815"/>
    <w:next w:val="815"/>
    <w:link w:val="836"/>
    <w:qFormat/>
    <w:pPr>
      <w:numPr>
        <w:ilvl w:val="8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584" w:leader="none"/>
      </w:tabs>
      <w:outlineLvl w:val="8"/>
    </w:pPr>
    <w:rPr>
      <w:rFonts w:ascii="Arial" w:hAnsi="Arial"/>
      <w:sz w:val="22"/>
    </w:rPr>
  </w:style>
  <w:style w:type="character" w:styleId="825" w:default="1">
    <w:name w:val="Default Paragraph Font"/>
    <w:uiPriority w:val="1"/>
    <w:semiHidden/>
    <w:unhideWhenUsed/>
  </w:style>
  <w:style w:type="table" w:styleId="8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7" w:default="1">
    <w:name w:val="No List"/>
    <w:uiPriority w:val="99"/>
    <w:semiHidden/>
    <w:unhideWhenUsed/>
  </w:style>
  <w:style w:type="character" w:styleId="828" w:customStyle="1">
    <w:name w:val="Заголовок 1 Знак"/>
    <w:basedOn w:val="825"/>
    <w:link w:val="816"/>
    <w:uiPriority w:val="9"/>
    <w:rPr>
      <w:rFonts w:ascii="Arial" w:hAnsi="Arial" w:eastAsia="Arial" w:cs="Arial"/>
      <w:sz w:val="40"/>
      <w:szCs w:val="40"/>
    </w:rPr>
  </w:style>
  <w:style w:type="character" w:styleId="829" w:customStyle="1">
    <w:name w:val="Heading 2 Char"/>
    <w:basedOn w:val="825"/>
    <w:uiPriority w:val="9"/>
    <w:rPr>
      <w:rFonts w:ascii="Arial" w:hAnsi="Arial" w:eastAsia="Arial" w:cs="Arial"/>
      <w:sz w:val="34"/>
    </w:rPr>
  </w:style>
  <w:style w:type="character" w:styleId="830" w:customStyle="1">
    <w:name w:val="Заголовок 3 Знак"/>
    <w:basedOn w:val="825"/>
    <w:link w:val="818"/>
    <w:uiPriority w:val="9"/>
    <w:rPr>
      <w:rFonts w:ascii="Arial" w:hAnsi="Arial" w:eastAsia="Arial" w:cs="Arial"/>
      <w:sz w:val="30"/>
      <w:szCs w:val="30"/>
    </w:rPr>
  </w:style>
  <w:style w:type="character" w:styleId="831" w:customStyle="1">
    <w:name w:val="Заголовок 4 Знак"/>
    <w:basedOn w:val="825"/>
    <w:link w:val="819"/>
    <w:uiPriority w:val="9"/>
    <w:rPr>
      <w:rFonts w:ascii="Arial" w:hAnsi="Arial" w:eastAsia="Arial" w:cs="Arial"/>
      <w:b/>
      <w:bCs/>
      <w:sz w:val="26"/>
      <w:szCs w:val="26"/>
    </w:rPr>
  </w:style>
  <w:style w:type="character" w:styleId="832" w:customStyle="1">
    <w:name w:val="Заголовок 5 Знак"/>
    <w:basedOn w:val="825"/>
    <w:link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33" w:customStyle="1">
    <w:name w:val="Заголовок 6 Знак"/>
    <w:basedOn w:val="825"/>
    <w:link w:val="821"/>
    <w:uiPriority w:val="9"/>
    <w:rPr>
      <w:rFonts w:ascii="Arial" w:hAnsi="Arial" w:eastAsia="Arial" w:cs="Arial"/>
      <w:b/>
      <w:bCs/>
      <w:sz w:val="22"/>
      <w:szCs w:val="22"/>
    </w:rPr>
  </w:style>
  <w:style w:type="character" w:styleId="834" w:customStyle="1">
    <w:name w:val="Заголовок 7 Знак"/>
    <w:basedOn w:val="825"/>
    <w:link w:val="8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5" w:customStyle="1">
    <w:name w:val="Заголовок 8 Знак"/>
    <w:basedOn w:val="825"/>
    <w:link w:val="823"/>
    <w:uiPriority w:val="9"/>
    <w:rPr>
      <w:rFonts w:ascii="Arial" w:hAnsi="Arial" w:eastAsia="Arial" w:cs="Arial"/>
      <w:i/>
      <w:iCs/>
      <w:sz w:val="22"/>
      <w:szCs w:val="22"/>
    </w:rPr>
  </w:style>
  <w:style w:type="character" w:styleId="836" w:customStyle="1">
    <w:name w:val="Заголовок 9 Знак"/>
    <w:basedOn w:val="825"/>
    <w:link w:val="824"/>
    <w:uiPriority w:val="9"/>
    <w:rPr>
      <w:rFonts w:ascii="Arial" w:hAnsi="Arial" w:eastAsia="Arial" w:cs="Arial"/>
      <w:i/>
      <w:iCs/>
      <w:sz w:val="21"/>
      <w:szCs w:val="21"/>
    </w:rPr>
  </w:style>
  <w:style w:type="paragraph" w:styleId="837">
    <w:name w:val="No Spacing"/>
    <w:uiPriority w:val="1"/>
    <w:qFormat/>
    <w:pPr>
      <w:spacing w:before="0"/>
    </w:pPr>
  </w:style>
  <w:style w:type="character" w:styleId="838" w:customStyle="1">
    <w:name w:val="Title Char"/>
    <w:basedOn w:val="825"/>
    <w:uiPriority w:val="10"/>
    <w:rPr>
      <w:sz w:val="48"/>
      <w:szCs w:val="48"/>
    </w:rPr>
  </w:style>
  <w:style w:type="paragraph" w:styleId="839">
    <w:name w:val="Subtitle"/>
    <w:basedOn w:val="815"/>
    <w:next w:val="815"/>
    <w:link w:val="840"/>
    <w:uiPriority w:val="11"/>
    <w:qFormat/>
    <w:pPr>
      <w:spacing w:before="200" w:after="200"/>
    </w:pPr>
    <w:rPr>
      <w:sz w:val="24"/>
      <w:szCs w:val="24"/>
    </w:rPr>
  </w:style>
  <w:style w:type="character" w:styleId="840" w:customStyle="1">
    <w:name w:val="Подзаголовок Знак"/>
    <w:basedOn w:val="825"/>
    <w:link w:val="839"/>
    <w:uiPriority w:val="11"/>
    <w:rPr>
      <w:sz w:val="24"/>
      <w:szCs w:val="24"/>
    </w:rPr>
  </w:style>
  <w:style w:type="paragraph" w:styleId="841">
    <w:name w:val="Quote"/>
    <w:basedOn w:val="815"/>
    <w:next w:val="815"/>
    <w:link w:val="842"/>
    <w:uiPriority w:val="29"/>
    <w:qFormat/>
    <w:pPr>
      <w:ind w:left="720" w:right="720"/>
    </w:pPr>
    <w:rPr>
      <w:i/>
    </w:rPr>
  </w:style>
  <w:style w:type="character" w:styleId="842" w:customStyle="1">
    <w:name w:val="Цитата 2 Знак"/>
    <w:link w:val="841"/>
    <w:uiPriority w:val="29"/>
    <w:rPr>
      <w:i/>
    </w:rPr>
  </w:style>
  <w:style w:type="paragraph" w:styleId="843">
    <w:name w:val="Intense Quote"/>
    <w:basedOn w:val="815"/>
    <w:next w:val="815"/>
    <w:link w:val="84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4" w:customStyle="1">
    <w:name w:val="Выделенная цитата Знак"/>
    <w:link w:val="843"/>
    <w:uiPriority w:val="30"/>
    <w:rPr>
      <w:i/>
    </w:rPr>
  </w:style>
  <w:style w:type="character" w:styleId="845" w:customStyle="1">
    <w:name w:val="Верхний колонтитул Знак"/>
    <w:basedOn w:val="825"/>
    <w:link w:val="978"/>
    <w:uiPriority w:val="99"/>
  </w:style>
  <w:style w:type="character" w:styleId="846" w:customStyle="1">
    <w:name w:val="Footer Char"/>
    <w:basedOn w:val="825"/>
    <w:uiPriority w:val="99"/>
  </w:style>
  <w:style w:type="character" w:styleId="847" w:customStyle="1">
    <w:name w:val="Caption Char"/>
    <w:uiPriority w:val="99"/>
  </w:style>
  <w:style w:type="table" w:styleId="848" w:customStyle="1">
    <w:name w:val="Table Grid Light"/>
    <w:basedOn w:val="8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9">
    <w:name w:val="Plain Table 1"/>
    <w:basedOn w:val="8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0">
    <w:name w:val="Plain Table 2"/>
    <w:basedOn w:val="82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1">
    <w:name w:val="Plain Table 3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2">
    <w:name w:val="Plain Table 4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Plain Table 5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4">
    <w:name w:val="Grid Table 1 Light"/>
    <w:basedOn w:val="82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1"/>
    <w:basedOn w:val="82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Grid Table 1 Light - Accent 2"/>
    <w:basedOn w:val="82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Grid Table 1 Light - Accent 3"/>
    <w:basedOn w:val="82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4"/>
    <w:basedOn w:val="82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5"/>
    <w:basedOn w:val="82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Grid Table 1 Light - Accent 6"/>
    <w:basedOn w:val="82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Grid Table 2"/>
    <w:basedOn w:val="8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1"/>
    <w:basedOn w:val="82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5"/>
    <w:basedOn w:val="82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6"/>
    <w:basedOn w:val="82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"/>
    <w:basedOn w:val="8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1"/>
    <w:basedOn w:val="82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5"/>
    <w:basedOn w:val="82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6"/>
    <w:basedOn w:val="82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4"/>
    <w:basedOn w:val="82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6" w:customStyle="1">
    <w:name w:val="Grid Table 4 - Accent 1"/>
    <w:basedOn w:val="82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7" w:customStyle="1">
    <w:name w:val="Grid Table 4 - Accent 2"/>
    <w:basedOn w:val="82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8" w:customStyle="1">
    <w:name w:val="Grid Table 4 - Accent 3"/>
    <w:basedOn w:val="82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9" w:customStyle="1">
    <w:name w:val="Grid Table 4 - Accent 4"/>
    <w:basedOn w:val="82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80" w:customStyle="1">
    <w:name w:val="Grid Table 4 - Accent 5"/>
    <w:basedOn w:val="82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81" w:customStyle="1">
    <w:name w:val="Grid Table 4 - Accent 6"/>
    <w:basedOn w:val="82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82">
    <w:name w:val="Grid Table 5 Dark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- Accent 1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 - Accent 2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 - Accent 3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- Accent 4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5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8" w:customStyle="1">
    <w:name w:val="Grid Table 5 Dark - Accent 6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9">
    <w:name w:val="Grid Table 6 Colorful"/>
    <w:basedOn w:val="82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0" w:customStyle="1">
    <w:name w:val="Grid Table 6 Colorful - Accent 1"/>
    <w:basedOn w:val="82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91" w:customStyle="1">
    <w:name w:val="Grid Table 6 Colorful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92" w:customStyle="1">
    <w:name w:val="Grid Table 6 Colorful - Accent 3"/>
    <w:basedOn w:val="82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93" w:customStyle="1">
    <w:name w:val="Grid Table 6 Colorful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4" w:customStyle="1">
    <w:name w:val="Grid Table 6 Colorful - Accent 5"/>
    <w:basedOn w:val="82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5" w:customStyle="1">
    <w:name w:val="Grid Table 6 Colorful - Accent 6"/>
    <w:basedOn w:val="82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6">
    <w:name w:val="Grid Table 7 Colorful"/>
    <w:basedOn w:val="82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7 Colorful - Accent 1"/>
    <w:basedOn w:val="82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7 Colorful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7 Colorful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7 Colorful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7 Colorful - Accent 5"/>
    <w:basedOn w:val="82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7 Colorful - Accent 6"/>
    <w:basedOn w:val="82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"/>
    <w:basedOn w:val="82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1"/>
    <w:basedOn w:val="826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2"/>
    <w:basedOn w:val="826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3"/>
    <w:basedOn w:val="826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4"/>
    <w:basedOn w:val="826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5"/>
    <w:basedOn w:val="826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6"/>
    <w:basedOn w:val="826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2"/>
    <w:basedOn w:val="82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1"/>
    <w:basedOn w:val="82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12" w:customStyle="1">
    <w:name w:val="List Table 2 - Accent 2"/>
    <w:basedOn w:val="82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13" w:customStyle="1">
    <w:name w:val="List Table 2 - Accent 3"/>
    <w:basedOn w:val="82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4"/>
    <w:basedOn w:val="82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5"/>
    <w:basedOn w:val="82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6" w:customStyle="1">
    <w:name w:val="List Table 2 - Accent 6"/>
    <w:basedOn w:val="82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7">
    <w:name w:val="List Table 3"/>
    <w:basedOn w:val="8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1"/>
    <w:basedOn w:val="82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3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3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3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4"/>
    <w:basedOn w:val="8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1"/>
    <w:basedOn w:val="82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4 - Accent 2"/>
    <w:basedOn w:val="82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 - Accent 3"/>
    <w:basedOn w:val="82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4"/>
    <w:basedOn w:val="82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5"/>
    <w:basedOn w:val="82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 - Accent 6"/>
    <w:basedOn w:val="82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5 Dark"/>
    <w:basedOn w:val="82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1"/>
    <w:basedOn w:val="82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 w:customStyle="1">
    <w:name w:val="List Table 5 Dark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 w:customStyle="1">
    <w:name w:val="List Table 5 Dark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 w:customStyle="1">
    <w:name w:val="List Table 5 Dark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8">
    <w:name w:val="List Table 6 Colorful"/>
    <w:basedOn w:val="82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9" w:customStyle="1">
    <w:name w:val="List Table 6 Colorful - Accent 1"/>
    <w:basedOn w:val="82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40" w:customStyle="1">
    <w:name w:val="List Table 6 Colorful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41" w:customStyle="1">
    <w:name w:val="List Table 6 Colorful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42" w:customStyle="1">
    <w:name w:val="List Table 6 Colorful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43" w:customStyle="1">
    <w:name w:val="List Table 6 Colorful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44" w:customStyle="1">
    <w:name w:val="List Table 6 Colorful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5">
    <w:name w:val="List Table 7 Colorful"/>
    <w:basedOn w:val="82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7 Colorful - Accent 1"/>
    <w:basedOn w:val="82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7 Colorful - Accent 2"/>
    <w:basedOn w:val="82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7 Colorful - Accent 3"/>
    <w:basedOn w:val="82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7 Colorful - Accent 4"/>
    <w:basedOn w:val="82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7 Colorful - Accent 5"/>
    <w:basedOn w:val="82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7 Colorful - Accent 6"/>
    <w:basedOn w:val="82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ned - Accent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3" w:customStyle="1">
    <w:name w:val="Lined - Accent 1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4" w:customStyle="1">
    <w:name w:val="Lined - Accent 2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5" w:customStyle="1">
    <w:name w:val="Lined - Accent 3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6" w:customStyle="1">
    <w:name w:val="Lined - Accent 4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7" w:customStyle="1">
    <w:name w:val="Lined - Accent 5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8" w:customStyle="1">
    <w:name w:val="Lined - Accent 6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9" w:customStyle="1">
    <w:name w:val="Bordered &amp; Lined - Accent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0" w:customStyle="1">
    <w:name w:val="Bordered &amp; Lined - Accent 1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1" w:customStyle="1">
    <w:name w:val="Bordered &amp; Lined - Accent 2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2" w:customStyle="1">
    <w:name w:val="Bordered &amp; Lined - Accent 3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63" w:customStyle="1">
    <w:name w:val="Bordered &amp; Lined - Accent 4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4" w:customStyle="1">
    <w:name w:val="Bordered &amp; Lined - Accent 5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5" w:customStyle="1">
    <w:name w:val="Bordered &amp; Lined - Accent 6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6" w:customStyle="1">
    <w:name w:val="Bordered"/>
    <w:basedOn w:val="82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7" w:customStyle="1">
    <w:name w:val="Bordered - Accent 1"/>
    <w:basedOn w:val="82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8" w:customStyle="1">
    <w:name w:val="Bordered - Accent 2"/>
    <w:basedOn w:val="82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9" w:customStyle="1">
    <w:name w:val="Bordered - Accent 3"/>
    <w:basedOn w:val="82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70" w:customStyle="1">
    <w:name w:val="Bordered - Accent 4"/>
    <w:basedOn w:val="82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71" w:customStyle="1">
    <w:name w:val="Bordered - Accent 5"/>
    <w:basedOn w:val="82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72" w:customStyle="1">
    <w:name w:val="Bordered - Accent 6"/>
    <w:basedOn w:val="82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73" w:customStyle="1">
    <w:name w:val="Footnote Text Char"/>
    <w:uiPriority w:val="99"/>
    <w:rPr>
      <w:sz w:val="18"/>
    </w:rPr>
  </w:style>
  <w:style w:type="character" w:styleId="974" w:customStyle="1">
    <w:name w:val="Endnote Text Char"/>
    <w:uiPriority w:val="99"/>
    <w:rPr>
      <w:sz w:val="20"/>
    </w:rPr>
  </w:style>
  <w:style w:type="paragraph" w:styleId="975">
    <w:name w:val="TOC Heading"/>
    <w:uiPriority w:val="39"/>
    <w:unhideWhenUsed/>
  </w:style>
  <w:style w:type="paragraph" w:styleId="976">
    <w:name w:val="table of figures"/>
    <w:basedOn w:val="815"/>
    <w:next w:val="815"/>
    <w:uiPriority w:val="99"/>
    <w:unhideWhenUsed/>
  </w:style>
  <w:style w:type="character" w:styleId="977" w:customStyle="1">
    <w:name w:val="Заголовок 2 Знак"/>
    <w:link w:val="817"/>
    <w:rPr>
      <w:b/>
      <w:sz w:val="32"/>
    </w:rPr>
  </w:style>
  <w:style w:type="paragraph" w:styleId="978">
    <w:name w:val="Header"/>
    <w:basedOn w:val="815"/>
    <w:link w:val="845"/>
    <w:pPr>
      <w:jc w:val="center"/>
      <w:tabs>
        <w:tab w:val="center" w:pos="4153" w:leader="none"/>
        <w:tab w:val="right" w:pos="8306" w:leader="none"/>
      </w:tabs>
      <w:pBdr>
        <w:bottom w:val="single" w:color="000000" w:sz="4" w:space="1"/>
      </w:pBdr>
    </w:pPr>
    <w:rPr>
      <w:i/>
      <w:sz w:val="20"/>
    </w:rPr>
  </w:style>
  <w:style w:type="paragraph" w:styleId="979">
    <w:name w:val="Footer"/>
    <w:basedOn w:val="815"/>
    <w:link w:val="1068"/>
    <w:pPr>
      <w:tabs>
        <w:tab w:val="center" w:pos="4253" w:leader="none"/>
        <w:tab w:val="right" w:pos="9356" w:leader="none"/>
      </w:tabs>
    </w:pPr>
    <w:rPr>
      <w:sz w:val="20"/>
    </w:rPr>
  </w:style>
  <w:style w:type="character" w:styleId="980">
    <w:name w:val="Hyperlink"/>
    <w:uiPriority w:val="99"/>
    <w:rPr>
      <w:color w:val="0000ff"/>
      <w:u w:val="single"/>
    </w:rPr>
  </w:style>
  <w:style w:type="character" w:styleId="981">
    <w:name w:val="footnote reference"/>
    <w:uiPriority w:val="99"/>
    <w:rPr>
      <w:vertAlign w:val="superscript"/>
    </w:rPr>
  </w:style>
  <w:style w:type="character" w:styleId="982">
    <w:name w:val="page number"/>
    <w:rPr>
      <w:rFonts w:ascii="Times New Roman" w:hAnsi="Times New Roman"/>
      <w:sz w:val="20"/>
    </w:rPr>
  </w:style>
  <w:style w:type="paragraph" w:styleId="983">
    <w:name w:val="toc 1"/>
    <w:basedOn w:val="815"/>
    <w:next w:val="815"/>
    <w:uiPriority w:val="39"/>
    <w:pPr>
      <w:ind w:left="539" w:right="1134" w:hanging="539"/>
      <w:jc w:val="left"/>
      <w:spacing w:before="240" w:after="120"/>
      <w:tabs>
        <w:tab w:val="left" w:pos="540" w:leader="none"/>
        <w:tab w:val="right" w:pos="10195" w:leader="dot"/>
      </w:tabs>
    </w:pPr>
    <w:rPr>
      <w:b/>
      <w:bCs/>
      <w:caps/>
    </w:rPr>
  </w:style>
  <w:style w:type="paragraph" w:styleId="984">
    <w:name w:val="toc 2"/>
    <w:basedOn w:val="815"/>
    <w:next w:val="815"/>
    <w:uiPriority w:val="39"/>
    <w:pPr>
      <w:ind w:left="1134" w:right="845" w:hanging="1134"/>
      <w:jc w:val="left"/>
      <w:spacing w:after="60"/>
      <w:tabs>
        <w:tab w:val="left" w:pos="1134" w:leader="none"/>
        <w:tab w:val="right" w:pos="10195" w:leader="dot"/>
      </w:tabs>
    </w:pPr>
    <w:rPr>
      <w:b/>
      <w:sz w:val="24"/>
      <w:szCs w:val="32"/>
      <w:lang w:val="sr-Cyrl-CS"/>
    </w:rPr>
  </w:style>
  <w:style w:type="paragraph" w:styleId="985">
    <w:name w:val="toc 3"/>
    <w:basedOn w:val="815"/>
    <w:next w:val="815"/>
    <w:uiPriority w:val="39"/>
    <w:pPr>
      <w:ind w:left="1979" w:right="1134" w:hanging="902"/>
      <w:jc w:val="left"/>
      <w:spacing w:after="60"/>
      <w:tabs>
        <w:tab w:val="left" w:pos="1980" w:leader="none"/>
        <w:tab w:val="right" w:pos="10195" w:leader="dot"/>
      </w:tabs>
    </w:pPr>
    <w:rPr>
      <w:iCs/>
      <w:sz w:val="24"/>
      <w:szCs w:val="24"/>
    </w:rPr>
  </w:style>
  <w:style w:type="paragraph" w:styleId="986">
    <w:name w:val="toc 4"/>
    <w:basedOn w:val="815"/>
    <w:next w:val="815"/>
    <w:uiPriority w:val="39"/>
    <w:pPr>
      <w:ind w:left="2268" w:right="1134" w:hanging="567"/>
      <w:jc w:val="left"/>
      <w:spacing w:after="60"/>
      <w:tabs>
        <w:tab w:val="left" w:pos="2268" w:leader="none"/>
        <w:tab w:val="right" w:pos="10195" w:leader="dot"/>
      </w:tabs>
    </w:pPr>
    <w:rPr>
      <w:sz w:val="24"/>
      <w:szCs w:val="24"/>
    </w:rPr>
  </w:style>
  <w:style w:type="character" w:styleId="987">
    <w:name w:val="FollowedHyperlink"/>
    <w:rPr>
      <w:color w:val="800080"/>
      <w:u w:val="single"/>
    </w:rPr>
  </w:style>
  <w:style w:type="paragraph" w:styleId="988">
    <w:name w:val="Document Map"/>
    <w:basedOn w:val="815"/>
    <w:semiHidden/>
    <w:pPr>
      <w:shd w:val="clear" w:color="auto" w:fill="000080"/>
    </w:pPr>
    <w:rPr>
      <w:rFonts w:ascii="Tahoma" w:hAnsi="Tahoma"/>
      <w:sz w:val="20"/>
    </w:rPr>
  </w:style>
  <w:style w:type="paragraph" w:styleId="989" w:customStyle="1">
    <w:name w:val="Таблица шапка"/>
    <w:basedOn w:val="815"/>
    <w:pPr>
      <w:ind w:left="57" w:right="57"/>
      <w:jc w:val="left"/>
      <w:keepNext/>
      <w:spacing w:before="40" w:after="40"/>
    </w:pPr>
    <w:rPr>
      <w:sz w:val="22"/>
    </w:rPr>
  </w:style>
  <w:style w:type="paragraph" w:styleId="990">
    <w:name w:val="footnote text"/>
    <w:basedOn w:val="815"/>
    <w:link w:val="991"/>
    <w:uiPriority w:val="99"/>
    <w:rPr>
      <w:sz w:val="20"/>
    </w:rPr>
  </w:style>
  <w:style w:type="character" w:styleId="991" w:customStyle="1">
    <w:name w:val="Текст сноски Знак"/>
    <w:link w:val="990"/>
    <w:uiPriority w:val="99"/>
  </w:style>
  <w:style w:type="paragraph" w:styleId="992" w:customStyle="1">
    <w:name w:val="Таблица текст"/>
    <w:basedOn w:val="815"/>
    <w:pPr>
      <w:ind w:left="57" w:right="57"/>
      <w:jc w:val="left"/>
      <w:spacing w:before="40" w:after="40"/>
    </w:pPr>
    <w:rPr>
      <w:sz w:val="24"/>
    </w:rPr>
  </w:style>
  <w:style w:type="paragraph" w:styleId="993">
    <w:name w:val="Caption"/>
    <w:basedOn w:val="815"/>
    <w:next w:val="815"/>
    <w:link w:val="847"/>
    <w:qFormat/>
    <w:pPr>
      <w:pageBreakBefore/>
      <w:spacing w:after="120"/>
    </w:pPr>
    <w:rPr>
      <w:bCs/>
      <w:i/>
      <w:sz w:val="24"/>
    </w:rPr>
  </w:style>
  <w:style w:type="paragraph" w:styleId="994">
    <w:name w:val="toc 5"/>
    <w:basedOn w:val="815"/>
    <w:next w:val="815"/>
    <w:uiPriority w:val="39"/>
    <w:pPr>
      <w:ind w:left="1120"/>
      <w:jc w:val="left"/>
    </w:pPr>
    <w:rPr>
      <w:sz w:val="18"/>
      <w:szCs w:val="18"/>
    </w:rPr>
  </w:style>
  <w:style w:type="paragraph" w:styleId="995">
    <w:name w:val="toc 6"/>
    <w:basedOn w:val="815"/>
    <w:next w:val="815"/>
    <w:uiPriority w:val="39"/>
    <w:pPr>
      <w:ind w:left="1400"/>
      <w:jc w:val="left"/>
    </w:pPr>
    <w:rPr>
      <w:sz w:val="18"/>
      <w:szCs w:val="18"/>
    </w:rPr>
  </w:style>
  <w:style w:type="paragraph" w:styleId="996">
    <w:name w:val="toc 7"/>
    <w:basedOn w:val="815"/>
    <w:next w:val="815"/>
    <w:uiPriority w:val="39"/>
    <w:pPr>
      <w:ind w:left="1680"/>
      <w:jc w:val="left"/>
    </w:pPr>
    <w:rPr>
      <w:sz w:val="18"/>
      <w:szCs w:val="18"/>
    </w:rPr>
  </w:style>
  <w:style w:type="paragraph" w:styleId="997">
    <w:name w:val="toc 8"/>
    <w:basedOn w:val="815"/>
    <w:next w:val="815"/>
    <w:uiPriority w:val="39"/>
    <w:pPr>
      <w:ind w:left="1960"/>
      <w:jc w:val="left"/>
    </w:pPr>
    <w:rPr>
      <w:sz w:val="18"/>
      <w:szCs w:val="18"/>
    </w:rPr>
  </w:style>
  <w:style w:type="paragraph" w:styleId="998">
    <w:name w:val="toc 9"/>
    <w:basedOn w:val="815"/>
    <w:next w:val="815"/>
    <w:uiPriority w:val="39"/>
    <w:pPr>
      <w:ind w:left="2240"/>
      <w:jc w:val="left"/>
    </w:pPr>
    <w:rPr>
      <w:sz w:val="18"/>
      <w:szCs w:val="18"/>
    </w:rPr>
  </w:style>
  <w:style w:type="paragraph" w:styleId="999" w:customStyle="1">
    <w:name w:val="Служебный"/>
    <w:basedOn w:val="1000"/>
  </w:style>
  <w:style w:type="paragraph" w:styleId="1000" w:customStyle="1">
    <w:name w:val="Главы"/>
    <w:basedOn w:val="1001"/>
    <w:next w:val="815"/>
    <w:pPr>
      <w:ind w:left="0" w:right="0" w:firstLine="0"/>
      <w:jc w:val="center"/>
      <w:spacing w:before="1440" w:after="720" w:line="360" w:lineRule="auto"/>
      <w:tabs>
        <w:tab w:val="clear" w:pos="567" w:leader="none"/>
      </w:tabs>
      <w:pBdr>
        <w:bottom w:val="none" w:color="000000" w:sz="0" w:space="0"/>
      </w:pBdr>
    </w:pPr>
    <w:rPr>
      <w:spacing w:val="40"/>
      <w:sz w:val="44"/>
      <w:szCs w:val="44"/>
    </w:rPr>
  </w:style>
  <w:style w:type="paragraph" w:styleId="1001" w:customStyle="1">
    <w:name w:val="Структура"/>
    <w:basedOn w:val="815"/>
    <w:pPr>
      <w:ind w:left="567" w:right="2835" w:hanging="567"/>
      <w:jc w:val="left"/>
      <w:pageBreakBefore/>
      <w:spacing w:before="480" w:after="240"/>
      <w:tabs>
        <w:tab w:val="num" w:pos="567" w:leader="none"/>
        <w:tab w:val="left" w:pos="851" w:leader="none"/>
      </w:tabs>
      <w:pBdr>
        <w:bottom w:val="single" w:color="000000" w:sz="24" w:space="1"/>
      </w:pBdr>
      <w:outlineLvl w:val="0"/>
    </w:pPr>
    <w:rPr>
      <w:rFonts w:ascii="Arial" w:hAnsi="Arial" w:cs="Arial"/>
      <w:b/>
      <w:caps/>
      <w:sz w:val="36"/>
      <w:szCs w:val="36"/>
    </w:rPr>
  </w:style>
  <w:style w:type="paragraph" w:styleId="1002" w:customStyle="1">
    <w:name w:val="маркированный"/>
    <w:basedOn w:val="815"/>
    <w:semiHidden/>
    <w:pPr>
      <w:ind w:left="1701" w:hanging="567"/>
      <w:tabs>
        <w:tab w:val="num" w:pos="1701" w:leader="none"/>
      </w:tabs>
    </w:pPr>
  </w:style>
  <w:style w:type="paragraph" w:styleId="1003" w:customStyle="1">
    <w:name w:val="Пункт"/>
    <w:basedOn w:val="815"/>
    <w:link w:val="1004"/>
    <w:pPr>
      <w:numPr>
        <w:ilvl w:val="2"/>
        <w:numId w:val="4"/>
      </w:numPr>
    </w:pPr>
  </w:style>
  <w:style w:type="character" w:styleId="1004" w:customStyle="1">
    <w:name w:val="Пункт Знак2"/>
    <w:link w:val="1003"/>
  </w:style>
  <w:style w:type="character" w:styleId="1005" w:customStyle="1">
    <w:name w:val="Пункт Знак"/>
    <w:rPr>
      <w:sz w:val="28"/>
      <w:lang w:val="ru-RU" w:eastAsia="ru-RU" w:bidi="ar-SA"/>
    </w:rPr>
  </w:style>
  <w:style w:type="paragraph" w:styleId="1006" w:customStyle="1">
    <w:name w:val="Подпункт"/>
    <w:basedOn w:val="1003"/>
    <w:link w:val="1007"/>
    <w:pPr>
      <w:numPr>
        <w:ilvl w:val="3"/>
      </w:numPr>
    </w:pPr>
  </w:style>
  <w:style w:type="character" w:styleId="1007" w:customStyle="1">
    <w:name w:val="Подпункт Знак1"/>
    <w:link w:val="1006"/>
  </w:style>
  <w:style w:type="character" w:styleId="1008" w:customStyle="1">
    <w:name w:val="Подпункт Знак"/>
    <w:rPr>
      <w:sz w:val="28"/>
      <w:lang w:val="ru-RU" w:eastAsia="ru-RU" w:bidi="ar-SA"/>
    </w:rPr>
  </w:style>
  <w:style w:type="character" w:styleId="1009" w:customStyle="1">
    <w:name w:val="комментарий"/>
    <w:rPr>
      <w:b/>
      <w:i/>
      <w:shd w:val="clear" w:color="auto" w:fill="ffff99"/>
    </w:rPr>
  </w:style>
  <w:style w:type="paragraph" w:styleId="1010" w:customStyle="1">
    <w:name w:val="Пункт2"/>
    <w:basedOn w:val="1003"/>
    <w:link w:val="1011"/>
    <w:pPr>
      <w:jc w:val="left"/>
      <w:keepNext/>
      <w:spacing w:before="240" w:after="120"/>
      <w:outlineLvl w:val="2"/>
    </w:pPr>
    <w:rPr>
      <w:b/>
    </w:rPr>
  </w:style>
  <w:style w:type="character" w:styleId="1011" w:customStyle="1">
    <w:name w:val="Пункт2 Знак"/>
    <w:link w:val="1010"/>
    <w:rPr>
      <w:b/>
    </w:rPr>
  </w:style>
  <w:style w:type="paragraph" w:styleId="1012" w:customStyle="1">
    <w:name w:val="Подподпункт"/>
    <w:basedOn w:val="1006"/>
    <w:link w:val="1013"/>
    <w:pPr>
      <w:numPr>
        <w:ilvl w:val="4"/>
      </w:numPr>
    </w:pPr>
  </w:style>
  <w:style w:type="character" w:styleId="1013" w:customStyle="1">
    <w:name w:val="Подподпункт Знак"/>
    <w:link w:val="1012"/>
  </w:style>
  <w:style w:type="paragraph" w:styleId="1014">
    <w:name w:val="List Number"/>
    <w:basedOn w:val="815"/>
    <w:pPr>
      <w:spacing w:before="60"/>
      <w:tabs>
        <w:tab w:val="num" w:pos="1134" w:leader="none"/>
      </w:tabs>
    </w:pPr>
    <w:rPr>
      <w:szCs w:val="24"/>
    </w:rPr>
  </w:style>
  <w:style w:type="paragraph" w:styleId="1015" w:customStyle="1">
    <w:name w:val="Текст таблицы"/>
    <w:basedOn w:val="815"/>
    <w:semiHidden/>
    <w:pPr>
      <w:ind w:left="57" w:right="57"/>
      <w:jc w:val="left"/>
      <w:spacing w:before="40" w:after="40"/>
    </w:pPr>
    <w:rPr>
      <w:sz w:val="24"/>
      <w:szCs w:val="24"/>
    </w:rPr>
  </w:style>
  <w:style w:type="paragraph" w:styleId="1016" w:customStyle="1">
    <w:name w:val="Пункт б/н"/>
    <w:basedOn w:val="815"/>
    <w:pPr>
      <w:tabs>
        <w:tab w:val="left" w:pos="1134" w:leader="none"/>
      </w:tabs>
    </w:pPr>
  </w:style>
  <w:style w:type="paragraph" w:styleId="1017">
    <w:name w:val="List Bullet"/>
    <w:basedOn w:val="815"/>
    <w:pPr>
      <w:ind w:left="360" w:hanging="360"/>
      <w:tabs>
        <w:tab w:val="num" w:pos="360" w:leader="none"/>
      </w:tabs>
    </w:pPr>
  </w:style>
  <w:style w:type="paragraph" w:styleId="1018">
    <w:name w:val="Balloon Text"/>
    <w:basedOn w:val="815"/>
    <w:link w:val="1019"/>
    <w:uiPriority w:val="99"/>
    <w:semiHidden/>
    <w:rPr>
      <w:rFonts w:ascii="Tahoma" w:hAnsi="Tahoma" w:cs="Tahoma"/>
      <w:sz w:val="16"/>
      <w:szCs w:val="16"/>
    </w:rPr>
  </w:style>
  <w:style w:type="character" w:styleId="1019" w:customStyle="1">
    <w:name w:val="Текст выноски Знак"/>
    <w:link w:val="1018"/>
    <w:uiPriority w:val="99"/>
    <w:semiHidden/>
    <w:rPr>
      <w:rFonts w:ascii="Tahoma" w:hAnsi="Tahoma" w:cs="Tahoma"/>
      <w:sz w:val="16"/>
      <w:szCs w:val="16"/>
    </w:rPr>
  </w:style>
  <w:style w:type="paragraph" w:styleId="1020">
    <w:name w:val="Body Text"/>
    <w:basedOn w:val="815"/>
    <w:link w:val="1021"/>
    <w:pPr>
      <w:jc w:val="left"/>
      <w:tabs>
        <w:tab w:val="right" w:pos="9360" w:leader="none"/>
      </w:tabs>
    </w:pPr>
    <w:rPr>
      <w:szCs w:val="24"/>
    </w:rPr>
  </w:style>
  <w:style w:type="character" w:styleId="1021" w:customStyle="1">
    <w:name w:val="Основной текст Знак"/>
    <w:link w:val="1020"/>
    <w:rPr>
      <w:sz w:val="28"/>
      <w:szCs w:val="24"/>
    </w:rPr>
  </w:style>
  <w:style w:type="paragraph" w:styleId="1022">
    <w:name w:val="annotation text"/>
    <w:basedOn w:val="815"/>
    <w:link w:val="1023"/>
    <w:uiPriority w:val="99"/>
    <w:rPr>
      <w:sz w:val="20"/>
    </w:rPr>
  </w:style>
  <w:style w:type="character" w:styleId="1023" w:customStyle="1">
    <w:name w:val="Текст примечания Знак"/>
    <w:link w:val="1022"/>
    <w:uiPriority w:val="99"/>
  </w:style>
  <w:style w:type="paragraph" w:styleId="1024">
    <w:name w:val="annotation subject"/>
    <w:basedOn w:val="1022"/>
    <w:next w:val="1022"/>
    <w:semiHidden/>
    <w:rPr>
      <w:b/>
      <w:bCs/>
    </w:rPr>
  </w:style>
  <w:style w:type="paragraph" w:styleId="1025">
    <w:name w:val="Body Text 3"/>
    <w:basedOn w:val="815"/>
    <w:pPr>
      <w:spacing w:after="120"/>
    </w:pPr>
    <w:rPr>
      <w:sz w:val="16"/>
      <w:szCs w:val="16"/>
    </w:rPr>
  </w:style>
  <w:style w:type="paragraph" w:styleId="1026" w:customStyle="1">
    <w:name w:val="Подподподподпункт"/>
    <w:basedOn w:val="815"/>
    <w:pPr>
      <w:ind w:left="2835" w:hanging="567"/>
      <w:tabs>
        <w:tab w:val="num" w:pos="2835" w:leader="none"/>
      </w:tabs>
    </w:pPr>
  </w:style>
  <w:style w:type="paragraph" w:styleId="1027" w:customStyle="1">
    <w:name w:val="Подподподпункт"/>
    <w:basedOn w:val="815"/>
    <w:pPr>
      <w:ind w:left="2268" w:hanging="567"/>
      <w:tabs>
        <w:tab w:val="num" w:pos="2268" w:leader="none"/>
      </w:tabs>
    </w:pPr>
  </w:style>
  <w:style w:type="paragraph" w:styleId="1028">
    <w:name w:val="Body Text Indent"/>
    <w:basedOn w:val="815"/>
    <w:pPr>
      <w:ind w:firstLine="485"/>
    </w:pPr>
    <w:rPr>
      <w:i/>
      <w:color w:val="000000"/>
      <w:szCs w:val="28"/>
    </w:rPr>
  </w:style>
  <w:style w:type="character" w:styleId="1029" w:customStyle="1">
    <w:name w:val="Пункт Знак1"/>
    <w:uiPriority w:val="99"/>
    <w:rPr>
      <w:sz w:val="28"/>
      <w:lang w:val="ru-RU" w:eastAsia="ru-RU" w:bidi="ar-SA"/>
    </w:rPr>
  </w:style>
  <w:style w:type="character" w:styleId="1030">
    <w:name w:val="annotation reference"/>
    <w:uiPriority w:val="99"/>
    <w:rPr>
      <w:sz w:val="16"/>
    </w:rPr>
  </w:style>
  <w:style w:type="paragraph" w:styleId="1031">
    <w:name w:val="Title"/>
    <w:basedOn w:val="815"/>
    <w:link w:val="1032"/>
    <w:qFormat/>
    <w:pPr>
      <w:jc w:val="center"/>
    </w:pPr>
    <w:rPr>
      <w:sz w:val="24"/>
      <w:szCs w:val="24"/>
    </w:rPr>
  </w:style>
  <w:style w:type="character" w:styleId="1032" w:customStyle="1">
    <w:name w:val="Заголовок Знак"/>
    <w:link w:val="1031"/>
    <w:rPr>
      <w:sz w:val="24"/>
      <w:szCs w:val="24"/>
    </w:rPr>
  </w:style>
  <w:style w:type="paragraph" w:styleId="1033" w:customStyle="1">
    <w:name w:val="Normal Знак"/>
    <w:pPr>
      <w:ind w:firstLine="20"/>
      <w:spacing w:before="220" w:line="300" w:lineRule="auto"/>
      <w:widowControl w:val="off"/>
    </w:pPr>
    <w:rPr>
      <w:sz w:val="22"/>
    </w:rPr>
  </w:style>
  <w:style w:type="paragraph" w:styleId="1034">
    <w:name w:val="List Paragraph"/>
    <w:basedOn w:val="815"/>
    <w:uiPriority w:val="34"/>
    <w:qFormat/>
    <w:pPr>
      <w:contextualSpacing/>
      <w:ind w:left="720"/>
      <w:jc w:val="left"/>
    </w:pPr>
    <w:rPr>
      <w:rFonts w:ascii="Geneva CY" w:hAnsi="Geneva CY" w:eastAsia="Geneva"/>
      <w:sz w:val="24"/>
      <w:lang w:eastAsia="en-US"/>
    </w:rPr>
  </w:style>
  <w:style w:type="paragraph" w:styleId="1035" w:customStyle="1">
    <w:name w:val="Основной текст3"/>
    <w:basedOn w:val="815"/>
    <w:pPr>
      <w:ind w:hanging="380"/>
      <w:jc w:val="right"/>
      <w:spacing w:line="192" w:lineRule="exact"/>
      <w:shd w:val="clear" w:color="auto" w:fill="ffffff"/>
    </w:pPr>
    <w:rPr>
      <w:sz w:val="21"/>
      <w:szCs w:val="21"/>
    </w:rPr>
  </w:style>
  <w:style w:type="paragraph" w:styleId="1036" w:customStyle="1">
    <w:name w:val="Table_header"/>
    <w:basedOn w:val="815"/>
    <w:rPr>
      <w:b/>
      <w:sz w:val="20"/>
      <w:szCs w:val="24"/>
    </w:rPr>
  </w:style>
  <w:style w:type="paragraph" w:styleId="1037" w:customStyle="1">
    <w:name w:val="Table_text"/>
    <w:basedOn w:val="815"/>
    <w:rPr>
      <w:sz w:val="20"/>
      <w:szCs w:val="24"/>
    </w:rPr>
  </w:style>
  <w:style w:type="paragraph" w:styleId="1038" w:customStyle="1">
    <w:name w:val="Times 12"/>
    <w:basedOn w:val="815"/>
    <w:rPr>
      <w:bCs/>
      <w:sz w:val="24"/>
      <w:szCs w:val="22"/>
    </w:rPr>
  </w:style>
  <w:style w:type="paragraph" w:styleId="1039" w:customStyle="1">
    <w:name w:val="ConsPlusNonformat"/>
    <w:uiPriority w:val="99"/>
    <w:rPr>
      <w:rFonts w:ascii="Courier New" w:hAnsi="Courier New" w:cs="Courier New"/>
    </w:rPr>
  </w:style>
  <w:style w:type="character" w:styleId="1040" w:customStyle="1">
    <w:name w:val="Font Style29"/>
    <w:uiPriority w:val="99"/>
    <w:rPr>
      <w:rFonts w:ascii="Times New Roman" w:hAnsi="Times New Roman" w:cs="Times New Roman"/>
      <w:color w:val="000000"/>
      <w:sz w:val="24"/>
      <w:szCs w:val="24"/>
    </w:rPr>
  </w:style>
  <w:style w:type="table" w:styleId="1041">
    <w:name w:val="Table Grid"/>
    <w:basedOn w:val="82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42" w:customStyle="1">
    <w:name w:val="Пункт_3"/>
    <w:basedOn w:val="815"/>
    <w:pPr>
      <w:ind w:left="1134" w:hanging="1133"/>
      <w:tabs>
        <w:tab w:val="num" w:pos="1134" w:leader="none"/>
      </w:tabs>
    </w:pPr>
  </w:style>
  <w:style w:type="paragraph" w:styleId="1043">
    <w:name w:val="endnote text"/>
    <w:basedOn w:val="815"/>
    <w:link w:val="1044"/>
    <w:rPr>
      <w:sz w:val="20"/>
    </w:rPr>
  </w:style>
  <w:style w:type="character" w:styleId="1044" w:customStyle="1">
    <w:name w:val="Текст концевой сноски Знак"/>
    <w:link w:val="1043"/>
  </w:style>
  <w:style w:type="character" w:styleId="1045">
    <w:name w:val="endnote reference"/>
    <w:uiPriority w:val="99"/>
    <w:rPr>
      <w:vertAlign w:val="superscript"/>
    </w:rPr>
  </w:style>
  <w:style w:type="paragraph" w:styleId="1046" w:customStyle="1">
    <w:name w:val="Пункт1"/>
    <w:basedOn w:val="815"/>
    <w:pPr>
      <w:numPr>
        <w:ilvl w:val="0"/>
        <w:numId w:val="5"/>
      </w:numPr>
      <w:jc w:val="center"/>
      <w:spacing w:before="240"/>
    </w:pPr>
    <w:rPr>
      <w:rFonts w:ascii="Arial" w:hAnsi="Arial"/>
      <w:b/>
      <w:szCs w:val="28"/>
    </w:rPr>
  </w:style>
  <w:style w:type="paragraph" w:styleId="1047">
    <w:name w:val="Revision"/>
    <w:hidden/>
    <w:uiPriority w:val="99"/>
    <w:semiHidden/>
    <w:rPr>
      <w:sz w:val="28"/>
    </w:rPr>
  </w:style>
  <w:style w:type="table" w:styleId="1048" w:customStyle="1">
    <w:name w:val="Сетка таблицы211"/>
    <w:basedOn w:val="826"/>
    <w:next w:val="1041"/>
    <w:uiPriority w:val="59"/>
    <w:rPr>
      <w:rFonts w:eastAsia="Calibri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49">
    <w:name w:val="Placeholder Text"/>
    <w:basedOn w:val="825"/>
    <w:uiPriority w:val="99"/>
    <w:semiHidden/>
    <w:rPr>
      <w:color w:val="808080"/>
    </w:rPr>
  </w:style>
  <w:style w:type="character" w:styleId="1050" w:customStyle="1">
    <w:name w:val="blk1"/>
    <w:basedOn w:val="825"/>
    <w:rPr>
      <w:vanish w:val="0"/>
    </w:rPr>
  </w:style>
  <w:style w:type="character" w:styleId="1051" w:customStyle="1">
    <w:name w:val="Неразрешенное упоминание1"/>
    <w:basedOn w:val="825"/>
    <w:uiPriority w:val="99"/>
    <w:semiHidden/>
    <w:unhideWhenUsed/>
    <w:rPr>
      <w:color w:val="808080"/>
      <w:shd w:val="clear" w:color="auto" w:fill="e6e6e6"/>
    </w:rPr>
  </w:style>
  <w:style w:type="character" w:styleId="1052" w:customStyle="1">
    <w:name w:val="Неразрешенное упоминание2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53" w:customStyle="1">
    <w:name w:val="st_zag1"/>
    <w:basedOn w:val="815"/>
    <w:next w:val="815"/>
    <w:pPr>
      <w:numPr>
        <w:ilvl w:val="0"/>
        <w:numId w:val="6"/>
      </w:numPr>
      <w:jc w:val="center"/>
    </w:pPr>
    <w:rPr>
      <w:rFonts w:ascii="Arial" w:hAnsi="Arial"/>
      <w:b/>
      <w:sz w:val="36"/>
      <w:szCs w:val="28"/>
    </w:rPr>
  </w:style>
  <w:style w:type="paragraph" w:styleId="1054" w:customStyle="1">
    <w:name w:val="st_text12"/>
    <w:basedOn w:val="815"/>
    <w:pPr>
      <w:ind w:left="576" w:hanging="576"/>
      <w:tabs>
        <w:tab w:val="num" w:pos="576" w:leader="none"/>
      </w:tabs>
    </w:pPr>
    <w:rPr>
      <w:szCs w:val="28"/>
    </w:rPr>
  </w:style>
  <w:style w:type="paragraph" w:styleId="1055" w:customStyle="1">
    <w:name w:val="st_text123"/>
    <w:basedOn w:val="815"/>
    <w:pPr>
      <w:ind w:left="720" w:hanging="720"/>
      <w:tabs>
        <w:tab w:val="num" w:pos="720" w:leader="none"/>
      </w:tabs>
    </w:pPr>
    <w:rPr>
      <w:szCs w:val="28"/>
    </w:rPr>
  </w:style>
  <w:style w:type="paragraph" w:styleId="1056" w:customStyle="1">
    <w:name w:val="st_text1234"/>
    <w:basedOn w:val="815"/>
    <w:pPr>
      <w:ind w:left="864" w:hanging="864"/>
      <w:tabs>
        <w:tab w:val="num" w:pos="864" w:leader="none"/>
      </w:tabs>
    </w:pPr>
    <w:rPr>
      <w:szCs w:val="28"/>
    </w:rPr>
  </w:style>
  <w:style w:type="character" w:styleId="1057" w:customStyle="1">
    <w:name w:val="Неразрешенное упоминание3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58" w:customStyle="1">
    <w:name w:val="Заголовок1"/>
    <w:basedOn w:val="815"/>
    <w:qFormat/>
    <w:pPr>
      <w:ind w:left="567" w:hanging="279"/>
      <w:jc w:val="center"/>
      <w:spacing w:before="240"/>
      <w:tabs>
        <w:tab w:val="num" w:pos="567" w:leader="none"/>
      </w:tabs>
    </w:pPr>
    <w:rPr>
      <w:b/>
      <w:szCs w:val="28"/>
    </w:rPr>
  </w:style>
  <w:style w:type="paragraph" w:styleId="1059" w:customStyle="1">
    <w:name w:val="русгидро п.п.п.п."/>
    <w:basedOn w:val="815"/>
    <w:qFormat/>
    <w:pPr>
      <w:ind w:left="2269" w:hanging="567"/>
      <w:tabs>
        <w:tab w:val="left" w:pos="1843" w:leader="none"/>
        <w:tab w:val="num" w:pos="2269" w:leader="none"/>
      </w:tabs>
    </w:pPr>
    <w:rPr>
      <w:szCs w:val="28"/>
    </w:rPr>
  </w:style>
  <w:style w:type="paragraph" w:styleId="1060" w:customStyle="1">
    <w:name w:val="Примечание"/>
    <w:basedOn w:val="815"/>
    <w:link w:val="1061"/>
    <w:pPr>
      <w:numPr>
        <w:ilvl w:val="1"/>
      </w:numPr>
      <w:ind w:left="1701" w:right="567"/>
      <w:spacing w:before="240" w:after="240"/>
    </w:pPr>
    <w:rPr>
      <w:spacing w:val="20"/>
      <w:sz w:val="24"/>
    </w:rPr>
  </w:style>
  <w:style w:type="character" w:styleId="1061" w:customStyle="1">
    <w:name w:val="Примечание Знак"/>
    <w:link w:val="1060"/>
    <w:rPr>
      <w:spacing w:val="20"/>
      <w:sz w:val="24"/>
    </w:rPr>
  </w:style>
  <w:style w:type="paragraph" w:styleId="1062" w:customStyle="1">
    <w:name w:val="Пункт_1"/>
    <w:basedOn w:val="815"/>
    <w:pPr>
      <w:ind w:left="567" w:hanging="567"/>
      <w:jc w:val="center"/>
      <w:keepNext/>
      <w:spacing w:before="480" w:after="240"/>
      <w:tabs>
        <w:tab w:val="num" w:pos="568" w:leader="none"/>
      </w:tabs>
      <w:outlineLvl w:val="0"/>
    </w:pPr>
    <w:rPr>
      <w:rFonts w:ascii="Arial" w:hAnsi="Arial"/>
      <w:b/>
      <w:sz w:val="32"/>
      <w:szCs w:val="28"/>
    </w:rPr>
  </w:style>
  <w:style w:type="character" w:styleId="1063" w:customStyle="1">
    <w:name w:val="Неразрешенное упоминание4"/>
    <w:basedOn w:val="825"/>
    <w:uiPriority w:val="99"/>
    <w:semiHidden/>
    <w:unhideWhenUsed/>
    <w:rPr>
      <w:color w:val="808080"/>
      <w:shd w:val="clear" w:color="auto" w:fill="e6e6e6"/>
    </w:rPr>
  </w:style>
  <w:style w:type="character" w:styleId="1064" w:customStyle="1">
    <w:name w:val="Неразрешенное упоминание5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65" w:customStyle="1">
    <w:name w:val="Default"/>
    <w:pPr>
      <w:jc w:val="left"/>
      <w:spacing w:before="0"/>
    </w:pPr>
    <w:rPr>
      <w:color w:val="000000"/>
      <w:sz w:val="24"/>
      <w:szCs w:val="24"/>
    </w:rPr>
  </w:style>
  <w:style w:type="paragraph" w:styleId="1066">
    <w:name w:val="HTML Preformatted"/>
    <w:basedOn w:val="815"/>
    <w:link w:val="1067"/>
    <w:uiPriority w:val="99"/>
    <w:semiHidden/>
    <w:unhideWhenUsed/>
    <w:pPr>
      <w:jc w:val="left"/>
      <w:spacing w:before="0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1067" w:customStyle="1">
    <w:name w:val="Стандартный HTML Знак"/>
    <w:basedOn w:val="825"/>
    <w:link w:val="1066"/>
    <w:uiPriority w:val="99"/>
    <w:semiHidden/>
    <w:rPr>
      <w:rFonts w:ascii="Courier New" w:hAnsi="Courier New" w:cs="Courier New"/>
      <w:sz w:val="20"/>
      <w:szCs w:val="20"/>
    </w:rPr>
  </w:style>
  <w:style w:type="character" w:styleId="1068" w:customStyle="1">
    <w:name w:val="Нижний колонтитул Знак"/>
    <w:basedOn w:val="825"/>
    <w:link w:val="979"/>
    <w:rPr>
      <w:sz w:val="20"/>
    </w:rPr>
  </w:style>
  <w:style w:type="paragraph" w:styleId="1069">
    <w:name w:val="Body Text 2"/>
    <w:basedOn w:val="815"/>
    <w:link w:val="1070"/>
    <w:semiHidden/>
    <w:unhideWhenUsed/>
    <w:pPr>
      <w:spacing w:after="120" w:line="480" w:lineRule="auto"/>
    </w:pPr>
  </w:style>
  <w:style w:type="character" w:styleId="1070" w:customStyle="1">
    <w:name w:val="Основной текст 2 Знак"/>
    <w:basedOn w:val="825"/>
    <w:link w:val="106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https://www.diadoc.ru/" TargetMode="External"/><Relationship Id="rId13" Type="http://schemas.openxmlformats.org/officeDocument/2006/relationships/hyperlink" Target="mailto:priemnaya-pts@dgk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13B04-475E-44B6-B411-3E3D4CC30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Р7-Офис/2025.2.2.832</Application>
  <Company>РусГидро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ИнКонТех</dc:creator>
  <cp:lastModifiedBy>ivaschenko_es</cp:lastModifiedBy>
  <cp:revision>52</cp:revision>
  <dcterms:created xsi:type="dcterms:W3CDTF">2023-09-01T07:05:00Z</dcterms:created>
  <dcterms:modified xsi:type="dcterms:W3CDTF">2025-08-26T06:50:35Z</dcterms:modified>
</cp:coreProperties>
</file>