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9.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6.png" ContentType="image/png"/>
  <Override PartName="/word/media/image4.jpeg" ContentType="image/jpeg"/>
  <Override PartName="/word/media/image5.png" ContentType="image/png"/>
  <Override PartName="/word/media/image7.png" ContentType="image/png"/>
  <Override PartName="/word/media/image8.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footer5.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0"/>
        <w:ind w:left="4678" w:hanging="0"/>
        <w:rPr>
          <w:i/>
          <w:i/>
          <w:sz w:val="24"/>
          <w:szCs w:val="24"/>
          <w:shd w:fill="FFFF99" w:val="clear"/>
        </w:rPr>
      </w:pPr>
      <w:r>
        <w:rPr>
          <w:i/>
          <w:sz w:val="24"/>
          <w:szCs w:val="24"/>
          <w:shd w:fill="FFFF99" w:val="clear"/>
        </w:rPr>
      </w:r>
    </w:p>
    <w:p>
      <w:pPr>
        <w:pStyle w:val="Normal"/>
        <w:jc w:val="right"/>
        <w:rPr>
          <w:b/>
          <w:sz w:val="22"/>
          <w:szCs w:val="22"/>
        </w:rPr>
      </w:pPr>
      <w:r>
        <w:rPr>
          <w:b/>
          <w:sz w:val="22"/>
          <w:szCs w:val="22"/>
        </w:rPr>
        <w:t xml:space="preserve">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numPr>
          <w:ilvl w:val="0"/>
          <w:numId w:val="0"/>
        </w:numPr>
        <w:spacing w:before="480" w:after="0"/>
        <w:ind w:left="0" w:hanging="0"/>
        <w:jc w:val="center"/>
        <w:outlineLvl w:val="4"/>
        <w:rPr>
          <w:b/>
          <w:sz w:val="36"/>
        </w:rPr>
      </w:pPr>
      <w:bookmarkStart w:id="0" w:name="_Toc518119232"/>
      <w:r>
        <w:rPr>
          <w:b/>
          <w:sz w:val="36"/>
        </w:rPr>
        <w:t>ДОКУМЕНТАЦИЯ</w:t>
      </w:r>
      <w:bookmarkEnd w:id="0"/>
    </w:p>
    <w:p>
      <w:pPr>
        <w:pStyle w:val="Normal"/>
        <w:numPr>
          <w:ilvl w:val="0"/>
          <w:numId w:val="0"/>
        </w:numPr>
        <w:spacing w:before="0" w:after="0"/>
        <w:ind w:left="0" w:hanging="0"/>
        <w:jc w:val="center"/>
        <w:outlineLvl w:val="4"/>
        <w:rPr>
          <w:b/>
          <w:sz w:val="32"/>
          <w:szCs w:val="32"/>
        </w:rPr>
      </w:pPr>
      <w:r>
        <w:rPr>
          <w:b/>
          <w:sz w:val="32"/>
          <w:szCs w:val="32"/>
        </w:rPr>
        <w:t>о продаже имущества АО «Загорская ГАЭС-2»</w:t>
      </w:r>
    </w:p>
    <w:p>
      <w:pPr>
        <w:pStyle w:val="Normal"/>
        <w:rPr/>
      </w:pPr>
      <w:r>
        <w:rPr/>
      </w:r>
    </w:p>
    <w:p>
      <w:pPr>
        <w:pStyle w:val="Normal"/>
        <w:jc w:val="center"/>
        <w:rPr/>
      </w:pPr>
      <w:r>
        <w:rPr/>
        <w:t>АУКЦИОН НА ПОВЫШЕНИЕ НА ПРАВО ЗАКЛЮЧЕНИЯ ДОГОВОРА КУПЛИ-ПРОДАЖИ КОМПЛЕКСА ОБЪЕКТОВ ПРОИЗВОДСТВЕННОЙ ПЛОЩАДКИ</w:t>
      </w:r>
      <w:r>
        <w:rPr>
          <w:caps/>
        </w:rPr>
        <w:t>, РАСПОЛОЖЕННОГО ПО АДРЕСУ: Московская облАСТЬ, Сергиево-Посадский ГОРОДСКОЙ ОКРУГ, пос. Богородское</w:t>
      </w:r>
      <w:r>
        <w:br w:type="page"/>
      </w:r>
    </w:p>
    <w:p>
      <w:pPr>
        <w:pStyle w:val="Normal"/>
        <w:numPr>
          <w:ilvl w:val="0"/>
          <w:numId w:val="0"/>
        </w:numPr>
        <w:spacing w:before="0" w:after="360"/>
        <w:ind w:left="0" w:hanging="0"/>
        <w:jc w:val="center"/>
        <w:outlineLvl w:val="4"/>
        <w:rPr>
          <w:b/>
          <w:sz w:val="28"/>
        </w:rPr>
      </w:pPr>
      <w:r>
        <w:rPr>
          <w:b/>
          <w:sz w:val="28"/>
        </w:rPr>
        <w:t>СОДЕРЖАНИЕ</w:t>
      </w:r>
    </w:p>
    <w:sdt>
      <w:sdtPr>
        <w:docPartObj>
          <w:docPartGallery w:val="Table of Contents"/>
          <w:docPartUnique w:val="true"/>
        </w:docPartObj>
      </w:sdtPr>
      <w:sdtContent>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r>
            <w:fldChar w:fldCharType="begin"/>
          </w:r>
          <w:r>
            <w:rPr>
              <w:webHidden/>
              <w:rStyle w:val="Style14"/>
              <w:vanish w:val="false"/>
            </w:rPr>
            <w:instrText xml:space="preserve"> TOC \z \o "1-2" \t "Heading 1,1,Пункт21111111111111,3" \h</w:instrText>
          </w:r>
          <w:r>
            <w:rPr>
              <w:webHidden/>
              <w:rStyle w:val="Style14"/>
              <w:vanish w:val="false"/>
            </w:rPr>
            <w:fldChar w:fldCharType="separate"/>
          </w:r>
          <w:hyperlink w:anchor="_Toc187829888">
            <w:r>
              <w:rPr>
                <w:webHidden/>
              </w:rPr>
              <w:fldChar w:fldCharType="begin"/>
            </w:r>
            <w:r>
              <w:rPr>
                <w:webHidden/>
              </w:rPr>
              <w:instrText xml:space="preserve">PAGEREF _Toc187829888 \h</w:instrText>
            </w:r>
            <w:r>
              <w:rPr>
                <w:webHidden/>
              </w:rPr>
              <w:fldChar w:fldCharType="separate"/>
            </w:r>
            <w:r>
              <w:rPr>
                <w:webHidden/>
                <w:rStyle w:val="Style14"/>
                <w:vanish w:val="false"/>
              </w:rPr>
              <w:t>СОКРАЩЕНИЯ</w:t>
              <w:tab/>
              <w:t>4</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889">
            <w:r>
              <w:rPr>
                <w:webHidden/>
              </w:rPr>
              <w:fldChar w:fldCharType="begin"/>
            </w:r>
            <w:r>
              <w:rPr>
                <w:webHidden/>
              </w:rPr>
              <w:instrText xml:space="preserve">PAGEREF _Toc187829889 \h</w:instrText>
            </w:r>
            <w:r>
              <w:rPr>
                <w:webHidden/>
              </w:rPr>
              <w:fldChar w:fldCharType="separate"/>
            </w:r>
            <w:r>
              <w:rPr>
                <w:webHidden/>
                <w:rStyle w:val="Style14"/>
                <w:vanish w:val="false"/>
              </w:rPr>
              <w:t>ТЕРМИНЫ И ОПРЕДЕЛЕНИЯ</w:t>
              <w:tab/>
              <w:t>5</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890">
            <w:r>
              <w:rPr>
                <w:webHidden/>
                <w:rStyle w:val="Style14"/>
                <w:vanish w:val="false"/>
              </w:rPr>
              <w:t>1.</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ОСНОВНЫЕ СВЕДЕНИЯ О ПРОДАЖЕ</w:t>
              <w:tab/>
            </w:r>
            <w:r>
              <w:rPr>
                <w:webHidden/>
              </w:rPr>
              <w:fldChar w:fldCharType="begin"/>
            </w:r>
            <w:r>
              <w:rPr>
                <w:webHidden/>
              </w:rPr>
              <w:instrText xml:space="preserve">PAGEREF _Toc187829890 \h</w:instrText>
            </w:r>
            <w:r>
              <w:rPr>
                <w:webHidden/>
              </w:rPr>
              <w:fldChar w:fldCharType="separate"/>
            </w:r>
            <w:r>
              <w:rPr>
                <w:rStyle w:val="Style14"/>
              </w:rPr>
              <w:t>6</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1">
            <w:r>
              <w:rPr>
                <w:webHidden/>
                <w:rStyle w:val="Style14"/>
                <w:vanish w:val="false"/>
              </w:rPr>
              <w:t>1.1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Статус настоящего раздела</w:t>
              <w:tab/>
            </w:r>
            <w:r>
              <w:rPr>
                <w:webHidden/>
              </w:rPr>
              <w:fldChar w:fldCharType="begin"/>
            </w:r>
            <w:r>
              <w:rPr>
                <w:webHidden/>
              </w:rPr>
              <w:instrText xml:space="preserve">PAGEREF _Toc187829891 \h</w:instrText>
            </w:r>
            <w:r>
              <w:rPr>
                <w:webHidden/>
              </w:rPr>
              <w:fldChar w:fldCharType="separate"/>
            </w:r>
            <w:r>
              <w:rPr>
                <w:rStyle w:val="Style14"/>
              </w:rPr>
              <w:t>6</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2">
            <w:r>
              <w:rPr>
                <w:webHidden/>
                <w:rStyle w:val="Style14"/>
                <w:vanish w:val="false"/>
              </w:rPr>
              <w:t>1.2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Информация о проводимом Аукционе</w:t>
              <w:tab/>
            </w:r>
            <w:r>
              <w:rPr>
                <w:webHidden/>
              </w:rPr>
              <w:fldChar w:fldCharType="begin"/>
            </w:r>
            <w:r>
              <w:rPr>
                <w:webHidden/>
              </w:rPr>
              <w:instrText xml:space="preserve">PAGEREF _Toc187829892 \h</w:instrText>
            </w:r>
            <w:r>
              <w:rPr>
                <w:webHidden/>
              </w:rPr>
              <w:fldChar w:fldCharType="separate"/>
            </w:r>
            <w:r>
              <w:rPr>
                <w:rStyle w:val="Style14"/>
              </w:rPr>
              <w:t>6</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893">
            <w:r>
              <w:rPr>
                <w:webHidden/>
                <w:rStyle w:val="Style14"/>
                <w:vanish w:val="false"/>
              </w:rPr>
              <w:t>2.</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ОБЩИЕ ПОЛОЖЕНИЯ</w:t>
              <w:tab/>
            </w:r>
            <w:r>
              <w:rPr>
                <w:webHidden/>
              </w:rPr>
              <w:fldChar w:fldCharType="begin"/>
            </w:r>
            <w:r>
              <w:rPr>
                <w:webHidden/>
              </w:rPr>
              <w:instrText xml:space="preserve">PAGEREF _Toc187829893 \h</w:instrText>
            </w:r>
            <w:r>
              <w:rPr>
                <w:webHidden/>
              </w:rPr>
              <w:fldChar w:fldCharType="separate"/>
            </w:r>
            <w:r>
              <w:rPr>
                <w:rStyle w:val="Style14"/>
              </w:rPr>
              <w:t>9</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4">
            <w:r>
              <w:rPr>
                <w:webHidden/>
                <w:rStyle w:val="Style14"/>
                <w:vanish w:val="false"/>
              </w:rPr>
              <w:t>2.1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Общие сведения о продаже</w:t>
              <w:tab/>
            </w:r>
            <w:r>
              <w:rPr>
                <w:webHidden/>
              </w:rPr>
              <w:fldChar w:fldCharType="begin"/>
            </w:r>
            <w:r>
              <w:rPr>
                <w:webHidden/>
              </w:rPr>
              <w:instrText xml:space="preserve">PAGEREF _Toc187829894 \h</w:instrText>
            </w:r>
            <w:r>
              <w:rPr>
                <w:webHidden/>
              </w:rPr>
              <w:fldChar w:fldCharType="separate"/>
            </w:r>
            <w:r>
              <w:rPr>
                <w:rStyle w:val="Style14"/>
              </w:rPr>
              <w:t>9</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5">
            <w:r>
              <w:rPr>
                <w:webHidden/>
                <w:rStyle w:val="Style14"/>
                <w:vanish w:val="false"/>
              </w:rPr>
              <w:t>2.2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Правовой статус документов</w:t>
              <w:tab/>
            </w:r>
            <w:r>
              <w:rPr>
                <w:webHidden/>
              </w:rPr>
              <w:fldChar w:fldCharType="begin"/>
            </w:r>
            <w:r>
              <w:rPr>
                <w:webHidden/>
              </w:rPr>
              <w:instrText xml:space="preserve">PAGEREF _Toc187829895 \h</w:instrText>
            </w:r>
            <w:r>
              <w:rPr>
                <w:webHidden/>
              </w:rPr>
              <w:fldChar w:fldCharType="separate"/>
            </w:r>
            <w:r>
              <w:rPr>
                <w:rStyle w:val="Style14"/>
              </w:rPr>
              <w:t>9</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6">
            <w:r>
              <w:rPr>
                <w:webHidden/>
                <w:rStyle w:val="Style14"/>
                <w:vanish w:val="false"/>
              </w:rPr>
              <w:t>2.3</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Особые положения при проведении Аукциона с использованием ЭТП</w:t>
              <w:tab/>
            </w:r>
            <w:r>
              <w:rPr>
                <w:webHidden/>
              </w:rPr>
              <w:fldChar w:fldCharType="begin"/>
            </w:r>
            <w:r>
              <w:rPr>
                <w:webHidden/>
              </w:rPr>
              <w:instrText xml:space="preserve">PAGEREF _Toc187829896 \h</w:instrText>
            </w:r>
            <w:r>
              <w:rPr>
                <w:webHidden/>
              </w:rPr>
              <w:fldChar w:fldCharType="separate"/>
            </w:r>
            <w:r>
              <w:rPr>
                <w:rStyle w:val="Style14"/>
              </w:rPr>
              <w:t>9</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7">
            <w:r>
              <w:rPr>
                <w:webHidden/>
                <w:rStyle w:val="Style14"/>
                <w:vanish w:val="false"/>
              </w:rPr>
              <w:t>2.4</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Прочие положения</w:t>
              <w:tab/>
            </w:r>
            <w:r>
              <w:rPr>
                <w:webHidden/>
              </w:rPr>
              <w:fldChar w:fldCharType="begin"/>
            </w:r>
            <w:r>
              <w:rPr>
                <w:webHidden/>
              </w:rPr>
              <w:instrText xml:space="preserve">PAGEREF _Toc187829897 \h</w:instrText>
            </w:r>
            <w:r>
              <w:rPr>
                <w:webHidden/>
              </w:rPr>
              <w:fldChar w:fldCharType="separate"/>
            </w:r>
            <w:r>
              <w:rPr>
                <w:rStyle w:val="Style14"/>
              </w:rPr>
              <w:t>9</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898">
            <w:r>
              <w:rPr>
                <w:webHidden/>
                <w:rStyle w:val="Style14"/>
                <w:vanish w:val="false"/>
              </w:rPr>
              <w:t>3.</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ПРЕДМЕТ ПРОДАЖИ</w:t>
              <w:tab/>
            </w:r>
            <w:r>
              <w:rPr>
                <w:webHidden/>
              </w:rPr>
              <w:fldChar w:fldCharType="begin"/>
            </w:r>
            <w:r>
              <w:rPr>
                <w:webHidden/>
              </w:rPr>
              <w:instrText xml:space="preserve">PAGEREF _Toc187829898 \h</w:instrText>
            </w:r>
            <w:r>
              <w:rPr>
                <w:webHidden/>
              </w:rPr>
              <w:fldChar w:fldCharType="separate"/>
            </w:r>
            <w:r>
              <w:rPr>
                <w:rStyle w:val="Style14"/>
              </w:rPr>
              <w:t>11</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899">
            <w:r>
              <w:rPr>
                <w:webHidden/>
                <w:rStyle w:val="Style14"/>
                <w:vanish w:val="false"/>
              </w:rPr>
              <w:t>3.1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Информация о Предмете продажи</w:t>
              <w:tab/>
            </w:r>
            <w:r>
              <w:rPr>
                <w:webHidden/>
              </w:rPr>
              <w:fldChar w:fldCharType="begin"/>
            </w:r>
            <w:r>
              <w:rPr>
                <w:webHidden/>
              </w:rPr>
              <w:instrText xml:space="preserve">PAGEREF _Toc187829899 \h</w:instrText>
            </w:r>
            <w:r>
              <w:rPr>
                <w:webHidden/>
              </w:rPr>
              <w:fldChar w:fldCharType="separate"/>
            </w:r>
            <w:r>
              <w:rPr>
                <w:rStyle w:val="Style14"/>
              </w:rPr>
              <w:t>11</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0">
            <w:r>
              <w:rPr>
                <w:webHidden/>
                <w:rStyle w:val="Style14"/>
                <w:vanish w:val="false"/>
              </w:rPr>
              <w:t>3.2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Порядок ознакомления с Предметом продажи</w:t>
              <w:tab/>
            </w:r>
            <w:r>
              <w:rPr>
                <w:webHidden/>
              </w:rPr>
              <w:fldChar w:fldCharType="begin"/>
            </w:r>
            <w:r>
              <w:rPr>
                <w:webHidden/>
              </w:rPr>
              <w:instrText xml:space="preserve">PAGEREF _Toc187829900 \h</w:instrText>
            </w:r>
            <w:r>
              <w:rPr>
                <w:webHidden/>
              </w:rPr>
              <w:fldChar w:fldCharType="separate"/>
            </w:r>
            <w:r>
              <w:rPr>
                <w:rStyle w:val="Style14"/>
              </w:rPr>
              <w:t>12</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01">
            <w:r>
              <w:rPr>
                <w:webHidden/>
                <w:rStyle w:val="Style14"/>
                <w:vanish w:val="false"/>
              </w:rPr>
              <w:t>4.</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ТРЕБОВАНИЯ К УЧАСТНИКАМ АУКЦИОНА</w:t>
              <w:tab/>
            </w:r>
            <w:r>
              <w:rPr>
                <w:webHidden/>
              </w:rPr>
              <w:fldChar w:fldCharType="begin"/>
            </w:r>
            <w:r>
              <w:rPr>
                <w:webHidden/>
              </w:rPr>
              <w:instrText xml:space="preserve">PAGEREF _Toc187829901 \h</w:instrText>
            </w:r>
            <w:r>
              <w:rPr>
                <w:webHidden/>
              </w:rPr>
              <w:fldChar w:fldCharType="separate"/>
            </w:r>
            <w:r>
              <w:rPr>
                <w:rStyle w:val="Style14"/>
              </w:rPr>
              <w:t>13</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2">
            <w:r>
              <w:rPr>
                <w:webHidden/>
                <w:rStyle w:val="Style14"/>
                <w:vanish w:val="false"/>
              </w:rPr>
              <w:t>4.1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Требования к Участникам Аукциона</w:t>
              <w:tab/>
            </w:r>
            <w:r>
              <w:rPr>
                <w:webHidden/>
              </w:rPr>
              <w:fldChar w:fldCharType="begin"/>
            </w:r>
            <w:r>
              <w:rPr>
                <w:webHidden/>
              </w:rPr>
              <w:instrText xml:space="preserve">PAGEREF _Toc187829902 \h</w:instrText>
            </w:r>
            <w:r>
              <w:rPr>
                <w:webHidden/>
              </w:rPr>
              <w:fldChar w:fldCharType="separate"/>
            </w:r>
            <w:r>
              <w:rPr>
                <w:rStyle w:val="Style14"/>
              </w:rPr>
              <w:t>13</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03">
            <w:r>
              <w:rPr>
                <w:webHidden/>
                <w:rStyle w:val="Style14"/>
                <w:vanish w:val="false"/>
              </w:rPr>
              <w:t>5.</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ПОРЯДОК ПРОВЕДЕНИЯ АУКЦИОНА. ИНСТРУКЦИИ ПО ПОДГОТОВКЕ ЗАЯВОК</w:t>
              <w:tab/>
            </w:r>
            <w:r>
              <w:rPr>
                <w:webHidden/>
              </w:rPr>
              <w:fldChar w:fldCharType="begin"/>
            </w:r>
            <w:r>
              <w:rPr>
                <w:webHidden/>
              </w:rPr>
              <w:instrText xml:space="preserve">PAGEREF _Toc187829903 \h</w:instrText>
            </w:r>
            <w:r>
              <w:rPr>
                <w:webHidden/>
              </w:rPr>
              <w:fldChar w:fldCharType="separate"/>
            </w:r>
            <w:r>
              <w:rPr>
                <w:rStyle w:val="Style14"/>
              </w:rPr>
              <w:t>14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4">
            <w:r>
              <w:rPr>
                <w:webHidden/>
                <w:rStyle w:val="Style14"/>
                <w:vanish w:val="false"/>
              </w:rPr>
              <w:t>5.1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Общий порядок проведения Аукциона</w:t>
              <w:tab/>
            </w:r>
            <w:r>
              <w:rPr>
                <w:webHidden/>
              </w:rPr>
              <w:fldChar w:fldCharType="begin"/>
            </w:r>
            <w:r>
              <w:rPr>
                <w:webHidden/>
              </w:rPr>
              <w:instrText xml:space="preserve">PAGEREF _Toc187829904 \h</w:instrText>
            </w:r>
            <w:r>
              <w:rPr>
                <w:webHidden/>
              </w:rPr>
              <w:fldChar w:fldCharType="separate"/>
            </w:r>
            <w:r>
              <w:rPr>
                <w:rStyle w:val="Style14"/>
              </w:rPr>
              <w:t>14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5">
            <w:r>
              <w:rPr>
                <w:webHidden/>
                <w:rStyle w:val="Style14"/>
                <w:vanish w:val="false"/>
              </w:rPr>
              <w:t>5.2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Официальное размещение Извещения и Документации</w:t>
              <w:tab/>
            </w:r>
            <w:r>
              <w:rPr>
                <w:webHidden/>
              </w:rPr>
              <w:fldChar w:fldCharType="begin"/>
            </w:r>
            <w:r>
              <w:rPr>
                <w:webHidden/>
              </w:rPr>
              <w:instrText xml:space="preserve">PAGEREF _Toc187829905 \h</w:instrText>
            </w:r>
            <w:r>
              <w:rPr>
                <w:webHidden/>
              </w:rPr>
              <w:fldChar w:fldCharType="separate"/>
            </w:r>
            <w:r>
              <w:rPr>
                <w:rStyle w:val="Style14"/>
              </w:rPr>
              <w:t>14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6">
            <w:r>
              <w:rPr>
                <w:webHidden/>
                <w:rStyle w:val="Style14"/>
                <w:vanish w:val="false"/>
              </w:rPr>
              <w:t>5.3</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Разъяснение Документации о продаже</w:t>
              <w:tab/>
            </w:r>
            <w:r>
              <w:rPr>
                <w:webHidden/>
              </w:rPr>
              <w:fldChar w:fldCharType="begin"/>
            </w:r>
            <w:r>
              <w:rPr>
                <w:webHidden/>
              </w:rPr>
              <w:instrText xml:space="preserve">PAGEREF _Toc187829906 \h</w:instrText>
            </w:r>
            <w:r>
              <w:rPr>
                <w:webHidden/>
              </w:rPr>
              <w:fldChar w:fldCharType="separate"/>
            </w:r>
            <w:r>
              <w:rPr>
                <w:rStyle w:val="Style14"/>
              </w:rPr>
              <w:t>14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7">
            <w:r>
              <w:rPr>
                <w:webHidden/>
                <w:rStyle w:val="Style14"/>
                <w:vanish w:val="false"/>
              </w:rPr>
              <w:t>5.4</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Изменения Документации о продаже</w:t>
              <w:tab/>
            </w:r>
            <w:r>
              <w:rPr>
                <w:webHidden/>
              </w:rPr>
              <w:fldChar w:fldCharType="begin"/>
            </w:r>
            <w:r>
              <w:rPr>
                <w:webHidden/>
              </w:rPr>
              <w:instrText xml:space="preserve">PAGEREF _Toc187829907 \h</w:instrText>
            </w:r>
            <w:r>
              <w:rPr>
                <w:webHidden/>
              </w:rPr>
              <w:fldChar w:fldCharType="separate"/>
            </w:r>
            <w:r>
              <w:rPr>
                <w:rStyle w:val="Style14"/>
              </w:rPr>
              <w:t>15</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8">
            <w:r>
              <w:rPr>
                <w:webHidden/>
                <w:rStyle w:val="Style14"/>
                <w:vanish w:val="false"/>
              </w:rPr>
              <w:t>5.5</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Подготовка Заявок</w:t>
              <w:tab/>
            </w:r>
            <w:r>
              <w:rPr>
                <w:webHidden/>
              </w:rPr>
              <w:fldChar w:fldCharType="begin"/>
            </w:r>
            <w:r>
              <w:rPr>
                <w:webHidden/>
              </w:rPr>
              <w:instrText xml:space="preserve">PAGEREF _Toc187829908 \h</w:instrText>
            </w:r>
            <w:r>
              <w:rPr>
                <w:webHidden/>
              </w:rPr>
              <w:fldChar w:fldCharType="separate"/>
            </w:r>
            <w:r>
              <w:rPr>
                <w:rStyle w:val="Style14"/>
              </w:rPr>
              <w:t>15</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09">
            <w:r>
              <w:rPr>
                <w:webHidden/>
                <w:rStyle w:val="Style14"/>
                <w:vanish w:val="false"/>
              </w:rPr>
              <w:t>5.5.1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Общие требования к Заявке</w:t>
              <w:tab/>
            </w:r>
            <w:r>
              <w:rPr>
                <w:webHidden/>
              </w:rPr>
              <w:fldChar w:fldCharType="begin"/>
            </w:r>
            <w:r>
              <w:rPr>
                <w:webHidden/>
              </w:rPr>
              <w:instrText xml:space="preserve">PAGEREF _Toc187829909 \h</w:instrText>
            </w:r>
            <w:r>
              <w:rPr>
                <w:webHidden/>
              </w:rPr>
              <w:fldChar w:fldCharType="separate"/>
            </w:r>
            <w:r>
              <w:rPr>
                <w:rStyle w:val="Style14"/>
              </w:rPr>
              <w:t>15</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0">
            <w:r>
              <w:rPr>
                <w:webHidden/>
                <w:rStyle w:val="Style14"/>
                <w:vanish w:val="false"/>
              </w:rPr>
              <w:t>5.5.2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Требования к сроку действия Заявки</w:t>
              <w:tab/>
            </w:r>
            <w:r>
              <w:rPr>
                <w:webHidden/>
              </w:rPr>
              <w:fldChar w:fldCharType="begin"/>
            </w:r>
            <w:r>
              <w:rPr>
                <w:webHidden/>
              </w:rPr>
              <w:instrText xml:space="preserve">PAGEREF _Toc187829910 \h</w:instrText>
            </w:r>
            <w:r>
              <w:rPr>
                <w:webHidden/>
              </w:rPr>
              <w:fldChar w:fldCharType="separate"/>
            </w:r>
            <w:r>
              <w:rPr>
                <w:rStyle w:val="Style14"/>
              </w:rPr>
              <w:t>16</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1">
            <w:r>
              <w:rPr>
                <w:webHidden/>
                <w:rStyle w:val="Style14"/>
                <w:vanish w:val="false"/>
              </w:rPr>
              <w:t>5.5.3</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Требования к языку Заявки</w:t>
              <w:tab/>
            </w:r>
            <w:r>
              <w:rPr>
                <w:webHidden/>
              </w:rPr>
              <w:fldChar w:fldCharType="begin"/>
            </w:r>
            <w:r>
              <w:rPr>
                <w:webHidden/>
              </w:rPr>
              <w:instrText xml:space="preserve">PAGEREF _Toc187829911 \h</w:instrText>
            </w:r>
            <w:r>
              <w:rPr>
                <w:webHidden/>
              </w:rPr>
              <w:fldChar w:fldCharType="separate"/>
            </w:r>
            <w:r>
              <w:rPr>
                <w:rStyle w:val="Style14"/>
              </w:rPr>
              <w:t>16</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2">
            <w:r>
              <w:rPr>
                <w:webHidden/>
                <w:rStyle w:val="Style14"/>
                <w:vanish w:val="false"/>
              </w:rPr>
              <w:t>5.5.4</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Требования к валюте предложения</w:t>
              <w:tab/>
            </w:r>
            <w:r>
              <w:rPr>
                <w:webHidden/>
              </w:rPr>
              <w:fldChar w:fldCharType="begin"/>
            </w:r>
            <w:r>
              <w:rPr>
                <w:webHidden/>
              </w:rPr>
              <w:instrText xml:space="preserve">PAGEREF _Toc187829912 \h</w:instrText>
            </w:r>
            <w:r>
              <w:rPr>
                <w:webHidden/>
              </w:rPr>
              <w:fldChar w:fldCharType="separate"/>
            </w:r>
            <w:r>
              <w:rPr>
                <w:rStyle w:val="Style14"/>
              </w:rPr>
              <w:t>17</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3">
            <w:r>
              <w:rPr>
                <w:webHidden/>
                <w:rStyle w:val="Style14"/>
                <w:vanish w:val="false"/>
              </w:rPr>
              <w:t>5.5.5</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Информация о задатке</w:t>
              <w:tab/>
            </w:r>
            <w:r>
              <w:rPr>
                <w:webHidden/>
              </w:rPr>
              <w:fldChar w:fldCharType="begin"/>
            </w:r>
            <w:r>
              <w:rPr>
                <w:webHidden/>
              </w:rPr>
              <w:instrText xml:space="preserve">PAGEREF _Toc187829913 \h</w:instrText>
            </w:r>
            <w:r>
              <w:rPr>
                <w:webHidden/>
              </w:rPr>
              <w:fldChar w:fldCharType="separate"/>
            </w:r>
            <w:r>
              <w:rPr>
                <w:rStyle w:val="Style14"/>
              </w:rPr>
              <w:t>17</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4">
            <w:r>
              <w:rPr>
                <w:webHidden/>
                <w:rStyle w:val="Style14"/>
                <w:vanish w:val="false"/>
              </w:rPr>
              <w:t>5.6</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Подача Заявок и их прием</w:t>
              <w:tab/>
            </w:r>
            <w:r>
              <w:rPr>
                <w:webHidden/>
              </w:rPr>
              <w:fldChar w:fldCharType="begin"/>
            </w:r>
            <w:r>
              <w:rPr>
                <w:webHidden/>
              </w:rPr>
              <w:instrText xml:space="preserve">PAGEREF _Toc187829914 \h</w:instrText>
            </w:r>
            <w:r>
              <w:rPr>
                <w:webHidden/>
              </w:rPr>
              <w:fldChar w:fldCharType="separate"/>
            </w:r>
            <w:r>
              <w:rPr>
                <w:rStyle w:val="Style14"/>
              </w:rPr>
              <w:t>17</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5">
            <w:r>
              <w:rPr>
                <w:webHidden/>
                <w:rStyle w:val="Style14"/>
                <w:vanish w:val="false"/>
              </w:rPr>
              <w:t>5.7</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Изменение и отзыв Заявок</w:t>
              <w:tab/>
            </w:r>
            <w:r>
              <w:rPr>
                <w:webHidden/>
              </w:rPr>
              <w:fldChar w:fldCharType="begin"/>
            </w:r>
            <w:r>
              <w:rPr>
                <w:webHidden/>
              </w:rPr>
              <w:instrText xml:space="preserve">PAGEREF _Toc187829915 \h</w:instrText>
            </w:r>
            <w:r>
              <w:rPr>
                <w:webHidden/>
              </w:rPr>
              <w:fldChar w:fldCharType="separate"/>
            </w:r>
            <w:r>
              <w:rPr>
                <w:rStyle w:val="Style14"/>
              </w:rPr>
              <w:t>18</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6">
            <w:r>
              <w:rPr>
                <w:webHidden/>
                <w:rStyle w:val="Style14"/>
                <w:vanish w:val="false"/>
              </w:rPr>
              <w:t>5.8</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Открытие доступа к Заявкам</w:t>
            </w:r>
            <w:r>
              <w:rPr>
                <w:webHidden/>
              </w:rPr>
              <w:fldChar w:fldCharType="begin"/>
            </w:r>
            <w:r>
              <w:rPr>
                <w:webHidden/>
              </w:rPr>
              <w:instrText xml:space="preserve">PAGEREF _Toc187829916 \h</w:instrText>
            </w:r>
            <w:r>
              <w:rPr>
                <w:webHidden/>
              </w:rPr>
              <w:fldChar w:fldCharType="separate"/>
            </w:r>
            <w:r>
              <w:rPr>
                <w:rStyle w:val="Style14"/>
              </w:rPr>
              <w:tab/>
              <w:t>18</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7">
            <w:r>
              <w:rPr>
                <w:webHidden/>
                <w:rStyle w:val="Style14"/>
                <w:vanish w:val="false"/>
              </w:rPr>
              <w:t>5.9</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Рассмотрение Заявок</w:t>
              <w:tab/>
            </w:r>
            <w:r>
              <w:rPr>
                <w:webHidden/>
              </w:rPr>
              <w:fldChar w:fldCharType="begin"/>
            </w:r>
            <w:r>
              <w:rPr>
                <w:webHidden/>
              </w:rPr>
              <w:instrText xml:space="preserve">PAGEREF _Toc187829917 \h</w:instrText>
            </w:r>
            <w:r>
              <w:rPr>
                <w:webHidden/>
              </w:rPr>
              <w:fldChar w:fldCharType="separate"/>
            </w:r>
            <w:r>
              <w:rPr>
                <w:rStyle w:val="Style14"/>
              </w:rPr>
              <w:t>18</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8">
            <w:r>
              <w:rPr>
                <w:webHidden/>
                <w:rStyle w:val="Style14"/>
                <w:vanish w:val="false"/>
              </w:rPr>
              <w:t>5.10</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Проведение Аукциона</w:t>
              <w:tab/>
            </w:r>
            <w:r>
              <w:rPr>
                <w:webHidden/>
              </w:rPr>
              <w:fldChar w:fldCharType="begin"/>
            </w:r>
            <w:r>
              <w:rPr>
                <w:webHidden/>
              </w:rPr>
              <w:instrText xml:space="preserve">PAGEREF _Toc187829918 \h</w:instrText>
            </w:r>
            <w:r>
              <w:rPr>
                <w:webHidden/>
              </w:rPr>
              <w:fldChar w:fldCharType="separate"/>
            </w:r>
            <w:r>
              <w:rPr>
                <w:rStyle w:val="Style14"/>
              </w:rPr>
              <w:t>20</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19">
            <w:r>
              <w:rPr>
                <w:webHidden/>
                <w:rStyle w:val="Style14"/>
                <w:vanish w:val="false"/>
              </w:rPr>
              <w:t>5.11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Оформление результатов Аукциона</w:t>
              <w:tab/>
            </w:r>
            <w:r>
              <w:rPr>
                <w:webHidden/>
              </w:rPr>
              <w:fldChar w:fldCharType="begin"/>
            </w:r>
            <w:r>
              <w:rPr>
                <w:webHidden/>
              </w:rPr>
              <w:instrText xml:space="preserve">PAGEREF _Toc187829919 \h</w:instrText>
            </w:r>
            <w:r>
              <w:rPr>
                <w:webHidden/>
              </w:rPr>
              <w:fldChar w:fldCharType="separate"/>
            </w:r>
            <w:r>
              <w:rPr>
                <w:rStyle w:val="Style14"/>
              </w:rPr>
              <w:t>20</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0">
            <w:r>
              <w:rPr>
                <w:webHidden/>
                <w:rStyle w:val="Style14"/>
                <w:vanish w:val="false"/>
              </w:rPr>
              <w:t>5.12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Признание Аукциона несостоявшимся</w:t>
              <w:tab/>
            </w:r>
            <w:r>
              <w:rPr>
                <w:webHidden/>
              </w:rPr>
              <w:fldChar w:fldCharType="begin"/>
            </w:r>
            <w:r>
              <w:rPr>
                <w:webHidden/>
              </w:rPr>
              <w:instrText xml:space="preserve">PAGEREF _Toc187829920 \h</w:instrText>
            </w:r>
            <w:r>
              <w:rPr>
                <w:webHidden/>
              </w:rPr>
              <w:fldChar w:fldCharType="separate"/>
            </w:r>
            <w:r>
              <w:rPr>
                <w:rStyle w:val="Style14"/>
              </w:rPr>
              <w:t>21</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1">
            <w:r>
              <w:rPr>
                <w:webHidden/>
                <w:rStyle w:val="Style14"/>
                <w:vanish w:val="false"/>
              </w:rPr>
              <w:t>5.13</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Отказ от проведения (отмена) аукциона</w:t>
              <w:tab/>
            </w:r>
            <w:r>
              <w:rPr>
                <w:webHidden/>
              </w:rPr>
              <w:fldChar w:fldCharType="begin"/>
            </w:r>
            <w:r>
              <w:rPr>
                <w:webHidden/>
              </w:rPr>
              <w:instrText xml:space="preserve">PAGEREF _Toc187829921 \h</w:instrText>
            </w:r>
            <w:r>
              <w:rPr>
                <w:webHidden/>
              </w:rPr>
              <w:fldChar w:fldCharType="separate"/>
            </w:r>
            <w:r>
              <w:rPr>
                <w:rStyle w:val="Style14"/>
              </w:rPr>
              <w:t>21</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22">
            <w:r>
              <w:rPr>
                <w:webHidden/>
                <w:rStyle w:val="Style14"/>
                <w:vanish w:val="false"/>
              </w:rPr>
              <w:t>6.</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ПОРЯДОК ЗАКЛЮЧЕНИЯ ДОГОВОРА</w:t>
              <w:tab/>
            </w:r>
            <w:r>
              <w:rPr>
                <w:webHidden/>
              </w:rPr>
              <w:fldChar w:fldCharType="begin"/>
            </w:r>
            <w:r>
              <w:rPr>
                <w:webHidden/>
              </w:rPr>
              <w:instrText xml:space="preserve">PAGEREF _Toc187829922 \h</w:instrText>
            </w:r>
            <w:r>
              <w:rPr>
                <w:webHidden/>
              </w:rPr>
              <w:fldChar w:fldCharType="separate"/>
            </w:r>
            <w:r>
              <w:rPr>
                <w:rStyle w:val="Style14"/>
              </w:rPr>
              <w:t>22</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3">
            <w:r>
              <w:rPr>
                <w:webHidden/>
                <w:rStyle w:val="Style14"/>
                <w:vanish w:val="false"/>
              </w:rPr>
              <w:t>6.1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Заключение Договора</w:t>
              <w:tab/>
            </w:r>
            <w:r>
              <w:rPr>
                <w:webHidden/>
              </w:rPr>
              <w:fldChar w:fldCharType="begin"/>
            </w:r>
            <w:r>
              <w:rPr>
                <w:webHidden/>
              </w:rPr>
              <w:instrText xml:space="preserve">PAGEREF _Toc187829923 \h</w:instrText>
            </w:r>
            <w:r>
              <w:rPr>
                <w:webHidden/>
              </w:rPr>
              <w:fldChar w:fldCharType="separate"/>
            </w:r>
            <w:r>
              <w:rPr>
                <w:rStyle w:val="Style14"/>
              </w:rPr>
              <w:t>22</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4">
            <w:r>
              <w:rPr>
                <w:webHidden/>
                <w:rStyle w:val="Style14"/>
                <w:vanish w:val="false"/>
              </w:rPr>
              <w:t>6.2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Уклонение или отказ победителя Аукциона от заключения Договора</w:t>
              <w:tab/>
            </w:r>
            <w:r>
              <w:rPr>
                <w:webHidden/>
              </w:rPr>
              <w:fldChar w:fldCharType="begin"/>
            </w:r>
            <w:r>
              <w:rPr>
                <w:webHidden/>
              </w:rPr>
              <w:instrText xml:space="preserve">PAGEREF _Toc187829924 \h</w:instrText>
            </w:r>
            <w:r>
              <w:rPr>
                <w:webHidden/>
              </w:rPr>
              <w:fldChar w:fldCharType="separate"/>
            </w:r>
            <w:r>
              <w:rPr>
                <w:rStyle w:val="Style14"/>
              </w:rPr>
              <w:t>22</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25">
            <w:r>
              <w:rPr>
                <w:webHidden/>
                <w:rStyle w:val="Style14"/>
                <w:vanish w:val="false"/>
              </w:rPr>
              <w:t>7.</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ПОРЯДОК ПРИМЕНЕНИЯ ДОПОЛНИТЕЛЬНЫХ ЭЛЕМЕНТОВ АУКЦИОНА</w:t>
              <w:tab/>
            </w:r>
            <w:r>
              <w:rPr>
                <w:webHidden/>
              </w:rPr>
              <w:fldChar w:fldCharType="begin"/>
            </w:r>
            <w:r>
              <w:rPr>
                <w:webHidden/>
              </w:rPr>
              <w:instrText xml:space="preserve">PAGEREF _Toc187829925 \h</w:instrText>
            </w:r>
            <w:r>
              <w:rPr>
                <w:webHidden/>
              </w:rPr>
              <w:fldChar w:fldCharType="separate"/>
            </w:r>
            <w:r>
              <w:rPr>
                <w:rStyle w:val="Style14"/>
              </w:rPr>
              <w:t>24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6">
            <w:r>
              <w:rPr>
                <w:webHidden/>
                <w:rStyle w:val="Style14"/>
                <w:vanish w:val="false"/>
              </w:rPr>
              <w:t>7.1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Статус настоящего раздела</w:t>
              <w:tab/>
            </w:r>
            <w:r>
              <w:rPr>
                <w:webHidden/>
              </w:rPr>
              <w:fldChar w:fldCharType="begin"/>
            </w:r>
            <w:r>
              <w:rPr>
                <w:webHidden/>
              </w:rPr>
              <w:instrText xml:space="preserve">PAGEREF _Toc187829926 \h</w:instrText>
            </w:r>
            <w:r>
              <w:rPr>
                <w:webHidden/>
              </w:rPr>
              <w:fldChar w:fldCharType="separate"/>
            </w:r>
            <w:r>
              <w:rPr>
                <w:rStyle w:val="Style14"/>
              </w:rPr>
              <w:t>24</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7">
            <w:r>
              <w:rPr>
                <w:webHidden/>
                <w:rStyle w:val="Style14"/>
                <w:vanish w:val="false"/>
              </w:rPr>
              <w:t>7.2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Многолотовая продажа</w:t>
              <w:tab/>
            </w:r>
            <w:r>
              <w:rPr>
                <w:webHidden/>
              </w:rPr>
              <w:fldChar w:fldCharType="begin"/>
            </w:r>
            <w:r>
              <w:rPr>
                <w:webHidden/>
              </w:rPr>
              <w:instrText xml:space="preserve">PAGEREF _Toc187829927 \h</w:instrText>
            </w:r>
            <w:r>
              <w:rPr>
                <w:webHidden/>
              </w:rPr>
              <w:fldChar w:fldCharType="separate"/>
            </w:r>
            <w:r>
              <w:rPr>
                <w:rStyle w:val="Style14"/>
              </w:rPr>
              <w:t>24</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28">
            <w:r>
              <w:rPr>
                <w:webHidden/>
                <w:rStyle w:val="Style14"/>
                <w:vanish w:val="false"/>
              </w:rPr>
              <w:t>8.</w:t>
            </w:r>
            <w:r>
              <w:rPr>
                <w:rStyle w:val="Style14"/>
                <w:rFonts w:eastAsia="" w:cs="" w:ascii="Calibri" w:hAnsi="Calibri" w:asciiTheme="minorHAnsi" w:cstheme="minorBidi" w:eastAsiaTheme="minorEastAsia" w:hAnsiTheme="minorHAnsi"/>
                <w:b w:val="false"/>
                <w:bCs w:val="false"/>
                <w:caps w:val="false"/>
                <w:smallCaps w:val="false"/>
                <w:kern w:val="2"/>
                <w:sz w:val="24"/>
                <w:szCs w:val="24"/>
                <w14:ligatures w14:val="standardContextual"/>
              </w:rPr>
              <w:tab/>
            </w:r>
            <w:r>
              <w:rPr>
                <w:rStyle w:val="Style14"/>
                <w:vanish w:val="false"/>
              </w:rPr>
              <w:t>ОБРАЗЦЫ ОСНОВНЫХ ФОРМ ДОКУМЕНТОВ, ВКЛЮЧАЕМЫХ В ЗАЯВКУ</w:t>
              <w:tab/>
            </w:r>
            <w:r>
              <w:rPr>
                <w:webHidden/>
              </w:rPr>
              <w:fldChar w:fldCharType="begin"/>
            </w:r>
            <w:r>
              <w:rPr>
                <w:webHidden/>
              </w:rPr>
              <w:instrText xml:space="preserve">PAGEREF _Toc187829928 \h</w:instrText>
            </w:r>
            <w:r>
              <w:rPr>
                <w:webHidden/>
              </w:rPr>
              <w:fldChar w:fldCharType="separate"/>
            </w:r>
            <w:r>
              <w:rPr>
                <w:rStyle w:val="Style14"/>
              </w:rPr>
              <w:t>25</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29">
            <w:r>
              <w:rPr>
                <w:webHidden/>
                <w:rStyle w:val="Style14"/>
                <w:vanish w:val="false"/>
              </w:rPr>
              <w:t>8.1</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Опись документов (форма 1)</w:t>
              <w:tab/>
            </w:r>
            <w:r>
              <w:rPr>
                <w:webHidden/>
              </w:rPr>
              <w:fldChar w:fldCharType="begin"/>
            </w:r>
            <w:r>
              <w:rPr>
                <w:webHidden/>
              </w:rPr>
              <w:instrText xml:space="preserve">PAGEREF _Toc187829929 \h</w:instrText>
            </w:r>
            <w:r>
              <w:rPr>
                <w:webHidden/>
              </w:rPr>
              <w:fldChar w:fldCharType="separate"/>
            </w:r>
            <w:r>
              <w:rPr>
                <w:rStyle w:val="Style14"/>
              </w:rPr>
              <w:t>25</w:t>
            </w:r>
            <w:r>
              <w:rPr>
                <w:webHidden/>
              </w:rPr>
              <w:fldChar w:fldCharType="end"/>
            </w:r>
          </w:hyperlink>
        </w:p>
        <w:p>
          <w:pPr>
            <w:pStyle w:val="TOC2"/>
            <w:rPr>
              <w:rFonts w:ascii="Calibri" w:hAnsi="Calibri" w:eastAsia="" w:cs="" w:asciiTheme="minorHAnsi" w:cstheme="minorBidi" w:eastAsiaTheme="minorEastAsia" w:hAnsiTheme="minorHAnsi"/>
              <w:b w:val="false"/>
              <w:kern w:val="2"/>
              <w:szCs w:val="24"/>
              <w14:ligatures w14:val="standardContextual"/>
            </w:rPr>
          </w:pPr>
          <w:hyperlink w:anchor="_Toc187829930">
            <w:r>
              <w:rPr>
                <w:webHidden/>
                <w:rStyle w:val="Style14"/>
                <w:vanish w:val="false"/>
              </w:rPr>
              <w:t>8.2</w:t>
            </w:r>
            <w:r>
              <w:rPr>
                <w:rStyle w:val="Style14"/>
                <w:rFonts w:eastAsia="" w:cs="" w:ascii="Calibri" w:hAnsi="Calibri" w:asciiTheme="minorHAnsi" w:cstheme="minorBidi" w:eastAsiaTheme="minorEastAsia" w:hAnsiTheme="minorHAnsi"/>
                <w:b w:val="false"/>
                <w:kern w:val="2"/>
                <w:szCs w:val="24"/>
                <w14:ligatures w14:val="standardContextual"/>
              </w:rPr>
              <w:tab/>
            </w:r>
            <w:r>
              <w:rPr>
                <w:rStyle w:val="Style14"/>
                <w:vanish w:val="false"/>
              </w:rPr>
              <w:t>Заявка на участие в Аукционе (форма 2)</w:t>
              <w:tab/>
            </w:r>
            <w:r>
              <w:rPr>
                <w:webHidden/>
              </w:rPr>
              <w:fldChar w:fldCharType="begin"/>
            </w:r>
            <w:r>
              <w:rPr>
                <w:webHidden/>
              </w:rPr>
              <w:instrText xml:space="preserve">PAGEREF _Toc187829930 \h</w:instrText>
            </w:r>
            <w:r>
              <w:rPr>
                <w:webHidden/>
              </w:rPr>
              <w:fldChar w:fldCharType="separate"/>
            </w:r>
            <w:r>
              <w:rPr>
                <w:rStyle w:val="Style14"/>
              </w:rPr>
              <w:t>27</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1">
            <w:r>
              <w:rPr>
                <w:webHidden/>
              </w:rPr>
              <w:fldChar w:fldCharType="begin"/>
            </w:r>
            <w:r>
              <w:rPr>
                <w:webHidden/>
              </w:rPr>
              <w:instrText xml:space="preserve">PAGEREF _Toc187829931 \h</w:instrText>
            </w:r>
            <w:r>
              <w:rPr>
                <w:webHidden/>
              </w:rPr>
              <w:fldChar w:fldCharType="separate"/>
            </w:r>
            <w:r>
              <w:rPr>
                <w:webHidden/>
                <w:rStyle w:val="Style14"/>
                <w:vanish w:val="false"/>
              </w:rPr>
              <w:t>Извещение о проведении Аукциона на повышение на право заключения договора купли-продажи имущества АО «Загорская ГАЭС-2»</w:t>
              <w:tab/>
              <w:t>32</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2">
            <w:r>
              <w:rPr>
                <w:webHidden/>
              </w:rPr>
              <w:fldChar w:fldCharType="begin"/>
            </w:r>
            <w:r>
              <w:rPr>
                <w:webHidden/>
              </w:rPr>
              <w:instrText xml:space="preserve">PAGEREF _Toc187829932 \h</w:instrText>
            </w:r>
            <w:r>
              <w:rPr>
                <w:webHidden/>
              </w:rPr>
              <w:fldChar w:fldCharType="separate"/>
            </w:r>
            <w:r>
              <w:rPr>
                <w:webHidden/>
                <w:rStyle w:val="Style14"/>
                <w:vanish w:val="false"/>
              </w:rPr>
              <w:t>Приложение № 1</w:t>
              <w:tab/>
              <w:t>35</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3">
            <w:r>
              <w:rPr>
                <w:webHidden/>
              </w:rPr>
              <w:fldChar w:fldCharType="begin"/>
            </w:r>
            <w:r>
              <w:rPr>
                <w:webHidden/>
              </w:rPr>
              <w:instrText xml:space="preserve">PAGEREF _Toc187829933 \h</w:instrText>
            </w:r>
            <w:r>
              <w:rPr>
                <w:webHidden/>
              </w:rPr>
              <w:fldChar w:fldCharType="separate"/>
            </w:r>
            <w:r>
              <w:rPr>
                <w:webHidden/>
                <w:rStyle w:val="Style14"/>
                <w:vanish w:val="false"/>
              </w:rPr>
              <w:t>Приложение № 2</w:t>
              <w:tab/>
              <w:t>41</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4">
            <w:r>
              <w:rPr>
                <w:webHidden/>
              </w:rPr>
              <w:fldChar w:fldCharType="begin"/>
            </w:r>
            <w:r>
              <w:rPr>
                <w:webHidden/>
              </w:rPr>
              <w:instrText xml:space="preserve">PAGEREF _Toc187829934 \h</w:instrText>
            </w:r>
            <w:r>
              <w:rPr>
                <w:webHidden/>
              </w:rPr>
              <w:fldChar w:fldCharType="separate"/>
            </w:r>
            <w:r>
              <w:rPr>
                <w:webHidden/>
                <w:rStyle w:val="Style14"/>
                <w:vanish w:val="false"/>
              </w:rPr>
              <w:t>Приложение № 3</w:t>
              <w:tab/>
              <w:t>60</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5">
            <w:r>
              <w:rPr>
                <w:webHidden/>
              </w:rPr>
              <w:fldChar w:fldCharType="begin"/>
            </w:r>
            <w:r>
              <w:rPr>
                <w:webHidden/>
              </w:rPr>
              <w:instrText xml:space="preserve">PAGEREF _Toc187829935 \h</w:instrText>
            </w:r>
            <w:r>
              <w:rPr>
                <w:webHidden/>
              </w:rPr>
              <w:fldChar w:fldCharType="separate"/>
            </w:r>
            <w:r>
              <w:rPr>
                <w:webHidden/>
                <w:rStyle w:val="Style14"/>
                <w:vanish w:val="false"/>
              </w:rPr>
              <w:t>Приложение № 4</w:t>
              <w:tab/>
              <w:t>66</w:t>
            </w:r>
            <w:r>
              <w:rPr>
                <w:webHidden/>
              </w:rPr>
              <w:fldChar w:fldCharType="end"/>
            </w:r>
          </w:hyperlink>
        </w:p>
        <w:p>
          <w:pPr>
            <w:pStyle w:val="TOC1"/>
            <w:rPr>
              <w:rFonts w:ascii="Calibri" w:hAnsi="Calibri" w:eastAsia="" w:cs="" w:asciiTheme="minorHAnsi" w:cstheme="minorBidi" w:eastAsiaTheme="minorEastAsia" w:hAnsiTheme="minorHAnsi"/>
              <w:b w:val="false"/>
              <w:bCs w:val="false"/>
              <w:caps w:val="false"/>
              <w:smallCaps w:val="false"/>
              <w:kern w:val="2"/>
              <w:sz w:val="24"/>
              <w:szCs w:val="24"/>
              <w14:ligatures w14:val="standardContextual"/>
            </w:rPr>
          </w:pPr>
          <w:hyperlink w:anchor="_Toc187829936">
            <w:r>
              <w:rPr>
                <w:webHidden/>
              </w:rPr>
              <w:fldChar w:fldCharType="begin"/>
            </w:r>
            <w:r>
              <w:rPr>
                <w:webHidden/>
              </w:rPr>
              <w:instrText xml:space="preserve">PAGEREF _Toc187829936 \h</w:instrText>
            </w:r>
            <w:r>
              <w:rPr>
                <w:webHidden/>
              </w:rPr>
              <w:fldChar w:fldCharType="separate"/>
            </w:r>
            <w:r>
              <w:rPr>
                <w:webHidden/>
                <w:rStyle w:val="Style14"/>
                <w:vanish w:val="false"/>
              </w:rPr>
              <w:t>Приложение № 5</w:t>
              <w:tab/>
              <w:t>67</w:t>
            </w:r>
            <w:r>
              <w:rPr>
                <w:webHidden/>
              </w:rPr>
              <w:fldChar w:fldCharType="end"/>
            </w:r>
          </w:hyperlink>
          <w:r>
            <w:rPr>
              <w:rStyle w:val="Style14"/>
              <w:vanish w:val="false"/>
            </w:rPr>
            <w:fldChar w:fldCharType="end"/>
          </w:r>
        </w:p>
      </w:sdtContent>
    </w:sdt>
    <w:p>
      <w:pPr>
        <w:pStyle w:val="TOC1"/>
        <w:rPr>
          <w:rFonts w:ascii="Calibri" w:hAnsi="Calibri" w:eastAsia="" w:cs="" w:asciiTheme="minorHAnsi" w:cstheme="minorBidi" w:eastAsiaTheme="minorEastAsia" w:hAnsiTheme="minorHAnsi"/>
          <w:sz w:val="22"/>
          <w:szCs w:val="22"/>
        </w:rPr>
      </w:pPr>
      <w:r>
        <w:rPr>
          <w:rFonts w:eastAsia="" w:cs="" w:cstheme="minorBidi" w:eastAsiaTheme="minorEastAsia" w:ascii="Calibri" w:hAnsi="Calibri"/>
          <w:sz w:val="22"/>
          <w:szCs w:val="22"/>
        </w:rPr>
      </w:r>
    </w:p>
    <w:p>
      <w:pPr>
        <w:pStyle w:val="Normal"/>
        <w:rPr/>
      </w:pPr>
      <w:r>
        <w:rPr/>
      </w:r>
    </w:p>
    <w:p>
      <w:pPr>
        <w:pStyle w:val="Heading1"/>
        <w:rPr>
          <w:rFonts w:ascii="Times New Roman" w:hAnsi="Times New Roman"/>
          <w:sz w:val="28"/>
          <w:szCs w:val="28"/>
        </w:rPr>
      </w:pPr>
      <w:bookmarkStart w:id="1" w:name="_Ref57046967"/>
      <w:bookmarkStart w:id="2" w:name="_Toc55285334"/>
      <w:bookmarkStart w:id="3" w:name="_Ref457404873"/>
      <w:bookmarkStart w:id="4" w:name="_Ref384119009"/>
      <w:bookmarkStart w:id="5" w:name="_Ref56251020"/>
      <w:bookmarkStart w:id="6" w:name="_Ref56251018"/>
      <w:bookmarkStart w:id="7" w:name="_Toc57314614"/>
      <w:bookmarkStart w:id="8" w:name="_Ref57322917"/>
      <w:bookmarkStart w:id="9" w:name="_Ref57322919"/>
      <w:bookmarkStart w:id="10" w:name="_Toc69728940"/>
      <w:bookmarkStart w:id="11" w:name="_Toc55305368"/>
      <w:bookmarkStart w:id="12" w:name="_Ref55335495"/>
      <w:bookmarkStart w:id="13" w:name="_Toc187829888"/>
      <w:bookmarkStart w:id="14" w:name="_Ref514366976"/>
      <w:bookmarkStart w:id="15" w:name="_Toc500159328"/>
      <w:bookmarkEnd w:id="15"/>
      <w:r>
        <w:rPr>
          <w:rFonts w:ascii="Times New Roman" w:hAnsi="Times New Roman"/>
          <w:sz w:val="28"/>
          <w:szCs w:val="28"/>
        </w:rPr>
        <w:t>СОКРАЩЕНИЯ</w:t>
      </w:r>
      <w:bookmarkEnd w:id="13"/>
      <w:bookmarkEnd w:id="14"/>
    </w:p>
    <w:p>
      <w:pPr>
        <w:pStyle w:val="Normal"/>
        <w:tabs>
          <w:tab w:val="clear" w:pos="567"/>
          <w:tab w:val="left" w:pos="2977" w:leader="none"/>
          <w:tab w:val="left" w:pos="3544" w:leader="none"/>
        </w:tabs>
        <w:ind w:firstLine="1134"/>
        <w:jc w:val="center"/>
        <w:rPr>
          <w:b/>
          <w:sz w:val="24"/>
        </w:rPr>
      </w:pPr>
      <w:r>
        <w:rPr>
          <w:b/>
          <w:sz w:val="24"/>
        </w:rPr>
      </w:r>
    </w:p>
    <w:tbl>
      <w:tblPr>
        <w:tblW w:w="1020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2799"/>
        <w:gridCol w:w="428"/>
        <w:gridCol w:w="6979"/>
      </w:tblGrid>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Аукцион</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аукцион на повышение на право заключения договора купли продажи имущества Продавца, проводимый в соответствии с настоящей Документацией</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ГК РФ</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Гражданской кодекс Российской Федерации</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Документация</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настоящая документация о продаже имущества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Договор</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договор купли-продажи имущества, являющегося Предметом продажи согласно Документации</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ЕГРИП</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Единый государственный реестр индивидуальных предпринимателей</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ЕГРЮЛ</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Единый государственный реестр юридических лиц</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Заявка</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заявка на участие в Аукционе</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Извещение</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извещение о проведении Аукциона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ИНН</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идентификационный номер налогоплательщика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Организатор</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Организатор продажи</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Процедура</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Процедура продажи, Процедура на право заключения договора купли-продажи имущества Продавца.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Стороны</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Организатор, Продавец и Участники, являющиеся сторонами Аукциона (при совместном упоминании)</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Участник</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Участник Аукциона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ЭТП</w:t>
            </w:r>
          </w:p>
        </w:tc>
        <w:tc>
          <w:tcPr>
            <w:tcW w:w="428" w:type="dxa"/>
            <w:tcBorders/>
          </w:tcPr>
          <w:p>
            <w:pPr>
              <w:pStyle w:val="Normal"/>
              <w:widowControl w:val="false"/>
              <w:tabs>
                <w:tab w:val="clear" w:pos="567"/>
                <w:tab w:val="left" w:pos="2977" w:leader="none"/>
                <w:tab w:val="left" w:pos="3544" w:leader="none"/>
              </w:tabs>
              <w:spacing w:before="120" w:after="0"/>
              <w:rPr>
                <w:b/>
              </w:rPr>
            </w:pPr>
            <w:r>
              <w:rPr/>
              <w:t>–</w:t>
            </w:r>
          </w:p>
        </w:tc>
        <w:tc>
          <w:tcPr>
            <w:tcW w:w="6979" w:type="dxa"/>
            <w:tcBorders/>
          </w:tcPr>
          <w:p>
            <w:pPr>
              <w:pStyle w:val="Normal"/>
              <w:widowControl w:val="false"/>
              <w:tabs>
                <w:tab w:val="clear" w:pos="567"/>
                <w:tab w:val="left" w:pos="2977" w:leader="none"/>
                <w:tab w:val="left" w:pos="3544" w:leader="none"/>
              </w:tabs>
              <w:spacing w:before="120" w:after="0"/>
              <w:rPr>
                <w:b/>
              </w:rPr>
            </w:pPr>
            <w:r>
              <w:rPr/>
              <w:t>электронная торговая площадка</w:t>
            </w:r>
          </w:p>
        </w:tc>
      </w:tr>
      <w:tr>
        <w:trPr/>
        <w:tc>
          <w:tcPr>
            <w:tcW w:w="2799" w:type="dxa"/>
            <w:tcBorders/>
          </w:tcPr>
          <w:p>
            <w:pPr>
              <w:pStyle w:val="Normal"/>
              <w:widowControl w:val="false"/>
              <w:tabs>
                <w:tab w:val="clear" w:pos="567"/>
                <w:tab w:val="left" w:pos="2977" w:leader="none"/>
                <w:tab w:val="left" w:pos="3544" w:leader="none"/>
              </w:tabs>
              <w:spacing w:before="120" w:after="0"/>
              <w:rPr>
                <w:b/>
              </w:rPr>
            </w:pPr>
            <w:r>
              <w:rPr>
                <w:b/>
              </w:rPr>
              <w:t>ЭЦП</w:t>
            </w:r>
          </w:p>
        </w:tc>
        <w:tc>
          <w:tcPr>
            <w:tcW w:w="428" w:type="dxa"/>
            <w:tcBorders/>
          </w:tcPr>
          <w:p>
            <w:pPr>
              <w:pStyle w:val="Normal"/>
              <w:widowControl w:val="false"/>
              <w:tabs>
                <w:tab w:val="clear" w:pos="567"/>
                <w:tab w:val="left" w:pos="2977" w:leader="none"/>
                <w:tab w:val="left" w:pos="3544" w:leader="none"/>
              </w:tabs>
              <w:spacing w:before="120" w:after="0"/>
              <w:rPr/>
            </w:pPr>
            <w:r>
              <w:rPr/>
              <w:t>–</w:t>
            </w:r>
          </w:p>
        </w:tc>
        <w:tc>
          <w:tcPr>
            <w:tcW w:w="6979" w:type="dxa"/>
            <w:tcBorders/>
          </w:tcPr>
          <w:p>
            <w:pPr>
              <w:pStyle w:val="Normal"/>
              <w:widowControl w:val="false"/>
              <w:tabs>
                <w:tab w:val="clear" w:pos="567"/>
                <w:tab w:val="left" w:pos="2977" w:leader="none"/>
                <w:tab w:val="left" w:pos="3544" w:leader="none"/>
              </w:tabs>
              <w:spacing w:before="120" w:after="0"/>
              <w:rPr/>
            </w:pPr>
            <w:r>
              <w:rPr/>
              <w:t>электронная цифровая подпись</w:t>
            </w:r>
          </w:p>
        </w:tc>
      </w:tr>
    </w:tbl>
    <w:p>
      <w:pPr>
        <w:pStyle w:val="Heading1"/>
        <w:rPr>
          <w:rFonts w:ascii="Times New Roman" w:hAnsi="Times New Roman"/>
          <w:sz w:val="28"/>
          <w:szCs w:val="28"/>
        </w:rPr>
      </w:pPr>
      <w:bookmarkStart w:id="16" w:name="_Toc187829889"/>
      <w:bookmarkStart w:id="17" w:name="_Toc517136388"/>
      <w:bookmarkStart w:id="18" w:name="_Toc500159328_Копия_1"/>
      <w:bookmarkEnd w:id="18"/>
      <w:r>
        <w:rPr>
          <w:rFonts w:ascii="Times New Roman" w:hAnsi="Times New Roman"/>
          <w:sz w:val="28"/>
          <w:szCs w:val="28"/>
        </w:rPr>
        <w:t>ТЕРМИНЫ И ОПРЕДЕЛЕНИЯ</w:t>
      </w:r>
      <w:bookmarkEnd w:id="16"/>
      <w:bookmarkEnd w:id="17"/>
    </w:p>
    <w:p>
      <w:pPr>
        <w:pStyle w:val="Normal"/>
        <w:spacing w:before="120" w:after="120"/>
        <w:rPr>
          <w:color w:val="000000"/>
        </w:rPr>
      </w:pPr>
      <w:r>
        <w:rPr>
          <w:b/>
          <w:color w:val="000000"/>
        </w:rPr>
        <w:t>Аукцион на повышение (Аукцион)</w:t>
      </w:r>
      <w:r>
        <w:rPr>
          <w:color w:val="000000"/>
        </w:rPr>
        <w:t xml:space="preserve"> – конкурентная форма продажи, при которой главным критерием в состязании между Участниками во время Аукциона является наибольшая цена.</w:t>
      </w:r>
    </w:p>
    <w:p>
      <w:pPr>
        <w:pStyle w:val="Normal"/>
        <w:spacing w:before="120" w:after="120"/>
        <w:rPr>
          <w:color w:val="000000"/>
        </w:rPr>
      </w:pPr>
      <w:r>
        <w:rPr>
          <w:b/>
          <w:color w:val="000000"/>
        </w:rPr>
        <w:t>Договор купли-продажи</w:t>
      </w:r>
      <w:r>
        <w:rPr>
          <w:color w:val="000000"/>
        </w:rPr>
        <w:t xml:space="preserve"> – договор, заключаемый Продавцом с победителем Аукциона, </w:t>
        <w:br/>
        <w:t>в отношении Предмета продажи.</w:t>
      </w:r>
    </w:p>
    <w:p>
      <w:pPr>
        <w:pStyle w:val="Default"/>
        <w:spacing w:before="120" w:after="120"/>
        <w:jc w:val="both"/>
        <w:rPr>
          <w:sz w:val="26"/>
          <w:szCs w:val="26"/>
        </w:rPr>
      </w:pPr>
      <w:r>
        <w:rPr>
          <w:b/>
          <w:sz w:val="26"/>
          <w:szCs w:val="26"/>
        </w:rPr>
        <w:t>Заявитель</w:t>
      </w:r>
      <w:r>
        <w:rPr>
          <w:sz w:val="26"/>
          <w:szCs w:val="26"/>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w:t>
        <w:br/>
        <w:t>на ЭТП с правом подачи заявки на участие в Аукционе и принявшее решение принять участие в Аукционе.</w:t>
      </w:r>
    </w:p>
    <w:p>
      <w:pPr>
        <w:pStyle w:val="Default"/>
        <w:spacing w:before="120" w:after="120"/>
        <w:jc w:val="both"/>
        <w:rPr>
          <w:sz w:val="26"/>
          <w:szCs w:val="26"/>
        </w:rPr>
      </w:pPr>
      <w:r>
        <w:rPr>
          <w:b/>
          <w:sz w:val="26"/>
          <w:szCs w:val="26"/>
        </w:rPr>
        <w:t>Комиссия</w:t>
      </w:r>
      <w:r>
        <w:rPr>
          <w:sz w:val="26"/>
          <w:szCs w:val="26"/>
        </w:rPr>
        <w:t xml:space="preserve"> – комиссия по проведению Аукциона, создаваемая Организатором продажи.</w:t>
      </w:r>
    </w:p>
    <w:p>
      <w:pPr>
        <w:pStyle w:val="Default"/>
        <w:spacing w:before="120" w:after="120"/>
        <w:jc w:val="both"/>
        <w:rPr>
          <w:sz w:val="26"/>
          <w:szCs w:val="26"/>
        </w:rPr>
      </w:pPr>
      <w:r>
        <w:rPr>
          <w:b/>
          <w:sz w:val="26"/>
          <w:szCs w:val="26"/>
        </w:rPr>
        <w:t>Оператор ЭТП</w:t>
      </w:r>
      <w:r>
        <w:rPr/>
        <w:t xml:space="preserve"> –  </w:t>
      </w:r>
      <w:r>
        <w:rPr>
          <w:sz w:val="26"/>
          <w:szCs w:val="26"/>
        </w:rPr>
        <w:t xml:space="preserve">юридическое лицо, соответствующее требованиям Законодательства РФ, владеющее ЭТП, в том числе необходимыми для ее функционирования оборудованием </w:t>
        <w:br/>
        <w:t>и программно-техническими средствами, и обеспечивающее проведение электронных процедур в соответствии с Регламентом ЭТП.</w:t>
      </w:r>
    </w:p>
    <w:p>
      <w:pPr>
        <w:pStyle w:val="Normal"/>
        <w:spacing w:before="120" w:after="120"/>
        <w:rPr/>
      </w:pPr>
      <w:r>
        <w:rPr>
          <w:b/>
        </w:rPr>
        <w:t>Организатор продажи</w:t>
      </w:r>
      <w:r>
        <w:rPr/>
        <w:t xml:space="preserve"> – Продавец или лицо, которое на основе договора с Продавцом </w:t>
        <w:br/>
        <w:t>от его имени и за его счет организует и проводит Аукцион.</w:t>
      </w:r>
    </w:p>
    <w:p>
      <w:pPr>
        <w:pStyle w:val="Normal"/>
        <w:widowControl w:val="false"/>
        <w:spacing w:before="120" w:after="120"/>
        <w:textAlignment w:val="baseline"/>
        <w:rPr>
          <w:bCs/>
          <w:color w:val="000000"/>
        </w:rPr>
      </w:pPr>
      <w:r>
        <w:rPr>
          <w:b/>
          <w:bCs/>
        </w:rPr>
        <w:t>Покупатель</w:t>
      </w:r>
      <w:r>
        <w:rPr/>
        <w:t xml:space="preserve"> – </w:t>
      </w:r>
      <w:r>
        <w:rPr>
          <w:bCs/>
          <w:color w:val="000000"/>
        </w:rPr>
        <w:t>победитель Аукциона либо единственный Участник Аукциона, в отношении которого принято решение об отчуждении ему Предмета продажи.</w:t>
      </w:r>
    </w:p>
    <w:p>
      <w:pPr>
        <w:pStyle w:val="Normal"/>
        <w:spacing w:before="120" w:after="120"/>
        <w:rPr>
          <w:color w:val="000000"/>
        </w:rPr>
      </w:pPr>
      <w:r>
        <w:rPr>
          <w:b/>
          <w:color w:val="000000"/>
        </w:rPr>
        <w:t>Предмет продажи, Предмет договора</w:t>
      </w:r>
      <w:r>
        <w:rPr>
          <w:color w:val="000000"/>
        </w:rPr>
        <w:t xml:space="preserve"> – имущество, указанное в Документации.</w:t>
      </w:r>
    </w:p>
    <w:p>
      <w:pPr>
        <w:pStyle w:val="Normal"/>
        <w:spacing w:before="120" w:after="120"/>
        <w:rPr>
          <w:color w:val="000000"/>
        </w:rPr>
      </w:pPr>
      <w:r>
        <w:rPr>
          <w:b/>
          <w:color w:val="000000"/>
        </w:rPr>
        <w:t>Продавец</w:t>
      </w:r>
      <w:r>
        <w:rPr>
          <w:color w:val="000000"/>
        </w:rPr>
        <w:t xml:space="preserve"> – юридическое лицо, являющееся собственником Предмета продажи, и указанное в пункте </w:t>
      </w:r>
      <w:r>
        <w:rPr>
          <w:color w:val="000000"/>
        </w:rPr>
        <w:fldChar w:fldCharType="begin"/>
      </w:r>
      <w:r>
        <w:rPr>
          <w:color w:val="000000"/>
        </w:rPr>
        <w:instrText xml:space="preserve"> REF _Ref384115722 \r \h </w:instrText>
      </w:r>
      <w:r>
        <w:rPr>
          <w:color w:val="000000"/>
        </w:rPr>
        <w:fldChar w:fldCharType="separate"/>
      </w:r>
      <w:r>
        <w:rPr>
          <w:color w:val="000000"/>
        </w:rPr>
        <w:t>1.2.5</w:t>
      </w:r>
      <w:r>
        <w:rPr>
          <w:color w:val="000000"/>
        </w:rPr>
        <w:fldChar w:fldCharType="end"/>
      </w:r>
      <w:r>
        <w:rPr>
          <w:color w:val="000000"/>
        </w:rPr>
        <w:t>.</w:t>
      </w:r>
    </w:p>
    <w:p>
      <w:pPr>
        <w:pStyle w:val="Normal"/>
        <w:spacing w:before="120" w:after="120"/>
        <w:rPr>
          <w:color w:val="000000"/>
        </w:rPr>
      </w:pPr>
      <w:r>
        <w:rPr>
          <w:b/>
          <w:color w:val="000000"/>
        </w:rPr>
        <w:t>Продажа</w:t>
      </w:r>
      <w:r>
        <w:rPr>
          <w:color w:val="000000"/>
        </w:rPr>
        <w:t xml:space="preserve"> – способ распоряжения имуществом, указанным в Документации, заключающийся в возмездном отчуждении имущества в собственность другого лица.</w:t>
      </w:r>
    </w:p>
    <w:p>
      <w:pPr>
        <w:pStyle w:val="Normal"/>
        <w:spacing w:before="120" w:after="120"/>
        <w:rPr>
          <w:color w:val="000000"/>
        </w:rPr>
      </w:pPr>
      <w:r>
        <w:rPr>
          <w:b/>
          <w:color w:val="000000"/>
        </w:rPr>
        <w:t>Процедура продажи, процедура Аукциона</w:t>
      </w:r>
      <w:r>
        <w:rPr>
          <w:color w:val="000000"/>
        </w:rPr>
        <w:t xml:space="preserve"> – действия Организатора по продаже имущества, указанного в Документации, от момента размещения Извещения до момента подведения итогов Аукциона.</w:t>
      </w:r>
    </w:p>
    <w:p>
      <w:pPr>
        <w:pStyle w:val="Normal"/>
        <w:spacing w:before="120" w:after="120"/>
        <w:rPr>
          <w:color w:val="000000"/>
        </w:rPr>
      </w:pPr>
      <w:r>
        <w:rPr>
          <w:b/>
          <w:color w:val="000000"/>
        </w:rPr>
        <w:t>Регламент ЭТП</w:t>
      </w:r>
      <w:r>
        <w:rPr>
          <w:color w:val="000000"/>
        </w:rPr>
        <w:t xml:space="preserve"> – регламент и иные инструкции, открыто размещенные на ЭТП и регламентирующие порядок действия лиц, использующих ЭТП.</w:t>
      </w:r>
    </w:p>
    <w:p>
      <w:pPr>
        <w:pStyle w:val="Normal"/>
        <w:spacing w:before="120" w:after="120"/>
        <w:rPr>
          <w:color w:val="000000"/>
        </w:rPr>
      </w:pPr>
      <w:r>
        <w:rPr>
          <w:b/>
          <w:color w:val="000000"/>
        </w:rPr>
        <w:t>Участник аукциона</w:t>
      </w:r>
      <w:r>
        <w:rPr>
          <w:color w:val="000000"/>
        </w:rPr>
        <w:t xml:space="preserve"> – Заявитель, чья заявка признана соответствующей требованиям Документации, и принявший участие в процедуре продаже имущества на Аукционе в соответствии с Документацией и Регламентом ЭТП.</w:t>
      </w:r>
    </w:p>
    <w:p>
      <w:pPr>
        <w:pStyle w:val="Normal"/>
        <w:spacing w:before="0" w:after="120"/>
        <w:rPr>
          <w:color w:val="000000"/>
          <w:sz w:val="24"/>
          <w:szCs w:val="24"/>
        </w:rPr>
      </w:pPr>
      <w:r>
        <w:rPr>
          <w:color w:val="000000"/>
          <w:sz w:val="24"/>
          <w:szCs w:val="24"/>
        </w:rPr>
      </w:r>
    </w:p>
    <w:p>
      <w:pPr>
        <w:pStyle w:val="Heading1"/>
        <w:numPr>
          <w:ilvl w:val="0"/>
          <w:numId w:val="3"/>
        </w:numPr>
        <w:rPr>
          <w:rFonts w:ascii="Times New Roman" w:hAnsi="Times New Roman"/>
          <w:sz w:val="28"/>
          <w:szCs w:val="28"/>
        </w:rPr>
      </w:pPr>
      <w:bookmarkStart w:id="19" w:name="_Ref513721506"/>
      <w:bookmarkStart w:id="20" w:name="_Toc187829890"/>
      <w:bookmarkStart w:id="21" w:name="_Ref388516882"/>
      <w:bookmarkStart w:id="22" w:name="_Ref388516845"/>
      <w:bookmarkStart w:id="23" w:name="_Toc514455532"/>
      <w:bookmarkStart w:id="24" w:name="_Toc514445885"/>
      <w:bookmarkStart w:id="25" w:name="_Toc514455531"/>
      <w:bookmarkStart w:id="26" w:name="_Toc514455530"/>
      <w:bookmarkStart w:id="27" w:name="_Toc514445883"/>
      <w:bookmarkStart w:id="28" w:name="_Toc514445884"/>
      <w:bookmarkEnd w:id="23"/>
      <w:bookmarkEnd w:id="24"/>
      <w:bookmarkEnd w:id="25"/>
      <w:bookmarkEnd w:id="26"/>
      <w:bookmarkEnd w:id="27"/>
      <w:bookmarkEnd w:id="28"/>
      <w:r>
        <w:rPr>
          <w:rFonts w:ascii="Times New Roman" w:hAnsi="Times New Roman"/>
          <w:sz w:val="28"/>
          <w:szCs w:val="28"/>
        </w:rPr>
        <w:t xml:space="preserve">ОСНОВНЫЕ СВЕДЕНИЯ О </w:t>
      </w:r>
      <w:bookmarkEnd w:id="21"/>
      <w:bookmarkEnd w:id="22"/>
      <w:r>
        <w:rPr>
          <w:rFonts w:ascii="Times New Roman" w:hAnsi="Times New Roman"/>
          <w:sz w:val="28"/>
          <w:szCs w:val="28"/>
        </w:rPr>
        <w:t>ПРОДАЖЕ</w:t>
      </w:r>
      <w:bookmarkEnd w:id="20"/>
    </w:p>
    <w:p>
      <w:pPr>
        <w:pStyle w:val="Heading2"/>
        <w:numPr>
          <w:ilvl w:val="1"/>
          <w:numId w:val="3"/>
        </w:numPr>
        <w:ind w:left="1134" w:hanging="1134"/>
        <w:rPr>
          <w:sz w:val="26"/>
        </w:rPr>
      </w:pPr>
      <w:bookmarkStart w:id="29" w:name="_Toc187829891"/>
      <w:r>
        <w:rPr>
          <w:sz w:val="26"/>
        </w:rPr>
        <w:t>Статус настоящего раздела</w:t>
      </w:r>
      <w:bookmarkEnd w:id="29"/>
    </w:p>
    <w:p>
      <w:pPr>
        <w:pStyle w:val="Style25"/>
        <w:numPr>
          <w:ilvl w:val="2"/>
          <w:numId w:val="52"/>
        </w:numPr>
        <w:ind w:left="1134" w:hanging="1134"/>
        <w:rPr/>
      </w:pPr>
      <w:r>
        <w:rPr/>
        <w:t xml:space="preserve">В настоящем разделе содержатся основные сведения о Предмете продажи </w:t>
        <w:br/>
        <w:t xml:space="preserve">и иных условиях проводимого Аукциона. Подробная информация о Предмете продажи, порядке проведения Аукциона и участия в нем, а также инструкции </w:t>
        <w:br/>
        <w:t xml:space="preserve">по подготовке Заявок приведены в разделах </w:t>
      </w:r>
      <w:r>
        <w:rPr/>
        <w:fldChar w:fldCharType="begin"/>
      </w:r>
      <w:r>
        <w:rPr/>
        <w:instrText xml:space="preserve"> REF _Ref514448858 \r \h </w:instrText>
      </w:r>
      <w:r>
        <w:rPr/>
        <w:fldChar w:fldCharType="separate"/>
      </w:r>
      <w:r>
        <w:rPr/>
        <w:t>2</w:t>
      </w:r>
      <w:r>
        <w:rPr/>
        <w:fldChar w:fldCharType="end"/>
      </w:r>
      <w:r>
        <w:rPr/>
        <w:t xml:space="preserve"> – </w:t>
      </w:r>
      <w:r>
        <w:rPr/>
        <w:fldChar w:fldCharType="begin"/>
      </w:r>
      <w:r>
        <w:rPr/>
        <w:instrText xml:space="preserve"> REF _Ref514448879 \r \h </w:instrText>
      </w:r>
      <w:r>
        <w:rPr/>
        <w:fldChar w:fldCharType="separate"/>
      </w:r>
      <w:r>
        <w:rPr/>
        <w:t>7</w:t>
      </w:r>
      <w:r>
        <w:rPr/>
        <w:fldChar w:fldCharType="end"/>
      </w:r>
      <w:r>
        <w:rPr/>
        <w:t>.</w:t>
      </w:r>
    </w:p>
    <w:p>
      <w:pPr>
        <w:pStyle w:val="Heading2"/>
        <w:numPr>
          <w:ilvl w:val="1"/>
          <w:numId w:val="3"/>
        </w:numPr>
        <w:ind w:left="1134" w:hanging="1134"/>
        <w:rPr>
          <w:sz w:val="26"/>
        </w:rPr>
      </w:pPr>
      <w:bookmarkStart w:id="30" w:name="_Toc187829892"/>
      <w:bookmarkStart w:id="31" w:name="_Toc328493354"/>
      <w:bookmarkStart w:id="32" w:name="_Toc203081977"/>
      <w:bookmarkStart w:id="33" w:name="_Toc334798694"/>
      <w:r>
        <w:rPr>
          <w:sz w:val="26"/>
        </w:rPr>
        <w:t xml:space="preserve">Информация о проводимом </w:t>
      </w:r>
      <w:bookmarkEnd w:id="31"/>
      <w:bookmarkEnd w:id="32"/>
      <w:bookmarkEnd w:id="33"/>
      <w:r>
        <w:rPr>
          <w:sz w:val="26"/>
        </w:rPr>
        <w:t>Аукционе</w:t>
      </w:r>
      <w:bookmarkEnd w:id="30"/>
    </w:p>
    <w:tbl>
      <w:tblPr>
        <w:tblW w:w="10206"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851"/>
        <w:gridCol w:w="2394"/>
        <w:gridCol w:w="6961"/>
      </w:tblGrid>
      <w:tr>
        <w:trPr>
          <w:tblHeader w:val="true"/>
        </w:trPr>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120"/>
              <w:jc w:val="center"/>
              <w:rPr>
                <w:sz w:val="26"/>
                <w:szCs w:val="26"/>
              </w:rPr>
            </w:pPr>
            <w:r>
              <w:rPr>
                <w:sz w:val="26"/>
                <w:szCs w:val="26"/>
              </w:rPr>
              <w:t xml:space="preserve">№ </w:t>
            </w:r>
            <w:r>
              <w:rPr>
                <w:sz w:val="26"/>
                <w:szCs w:val="26"/>
              </w:rPr>
              <w:br/>
              <w:t>п/п</w:t>
            </w:r>
          </w:p>
        </w:tc>
        <w:tc>
          <w:tcPr>
            <w:tcW w:w="2394"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spacing w:before="120" w:after="120"/>
              <w:jc w:val="center"/>
              <w:rPr>
                <w:sz w:val="26"/>
                <w:szCs w:val="26"/>
              </w:rPr>
            </w:pPr>
            <w:r>
              <w:rPr>
                <w:sz w:val="26"/>
                <w:szCs w:val="26"/>
              </w:rPr>
              <w:t>Наименование пункта</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spacing w:before="120" w:after="120"/>
              <w:jc w:val="center"/>
              <w:rPr>
                <w:sz w:val="26"/>
                <w:szCs w:val="26"/>
              </w:rPr>
            </w:pPr>
            <w:r>
              <w:rPr>
                <w:sz w:val="26"/>
                <w:szCs w:val="26"/>
              </w:rPr>
              <w:t>Содержание пункта</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34" w:name="_Ref249785568"/>
            <w:bookmarkStart w:id="35" w:name="_Ref249785568"/>
            <w:bookmarkEnd w:id="35"/>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Предмет Договора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rStyle w:val="Style4"/>
                <w:b w:val="false"/>
              </w:rPr>
            </w:pPr>
            <w:r>
              <w:rPr/>
              <w:t>Комплекс объектов производственной площадки, указанного в Приложении № 1 к Документации, расположенного по адресу: Московская обл., Сергиево-Посадский городской округ, пос. Богородское.</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36" w:name="_Ref389745249"/>
            <w:bookmarkStart w:id="37" w:name="_Ref389745249"/>
            <w:bookmarkEnd w:id="37"/>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Многолотовая продажа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120"/>
              <w:rPr>
                <w:rStyle w:val="Style4"/>
                <w:b/>
              </w:rPr>
            </w:pPr>
            <w:r>
              <w:rPr>
                <w:b w:val="false"/>
                <w:sz w:val="26"/>
                <w:szCs w:val="26"/>
              </w:rPr>
              <w:t>Нет</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38" w:name="_Ref458187651"/>
            <w:bookmarkStart w:id="39" w:name="_Ref458187651"/>
            <w:bookmarkEnd w:id="39"/>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Наименование и адрес ЭТП</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i/>
                <w:i/>
                <w:shd w:fill="FFFF99" w:val="clear"/>
              </w:rPr>
            </w:pPr>
            <w:r>
              <w:rPr/>
              <w:t xml:space="preserve">АО «Российский аукционный дом» (сокращенно именуемое АО «РАД»), </w:t>
            </w:r>
            <w:r>
              <w:rPr>
                <w:lang w:val="en-US"/>
              </w:rPr>
              <w:t>lot</w:t>
            </w:r>
            <w:r>
              <w:rPr/>
              <w:t>-</w:t>
            </w:r>
            <w:r>
              <w:rPr>
                <w:lang w:val="en-US"/>
              </w:rPr>
              <w:t>online</w:t>
            </w:r>
            <w:r>
              <w:rPr/>
              <w:t>.</w:t>
            </w:r>
            <w:r>
              <w:rPr>
                <w:lang w:val="en-US"/>
              </w:rPr>
              <w:t>ru</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40" w:name="_Ref49356191"/>
            <w:bookmarkStart w:id="41" w:name="_Ref49356191"/>
            <w:bookmarkEnd w:id="41"/>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Участники Аукциона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pPr>
            <w:r>
              <w:rPr/>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trPr>
          <w:trHeight w:val="559" w:hRule="atLeast"/>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42" w:name="_Ref384115722"/>
            <w:bookmarkStart w:id="43" w:name="_Ref384115722"/>
            <w:bookmarkEnd w:id="43"/>
          </w:p>
        </w:tc>
        <w:tc>
          <w:tcPr>
            <w:tcW w:w="2394" w:type="dxa"/>
            <w:tcBorders>
              <w:top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Продавец</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spacing w:before="120" w:after="0"/>
              <w:rPr>
                <w:b w:val="false"/>
                <w:sz w:val="26"/>
                <w:szCs w:val="26"/>
              </w:rPr>
            </w:pPr>
            <w:r>
              <w:rPr>
                <w:b w:val="false"/>
                <w:sz w:val="26"/>
                <w:szCs w:val="26"/>
              </w:rPr>
              <w:t>Наименование: Акционерное общество «Загорская ГАЭС-2» (АО «Загорская ГАЭС-2»)</w:t>
            </w:r>
          </w:p>
          <w:p>
            <w:pPr>
              <w:pStyle w:val="Tableheader"/>
              <w:widowControl w:val="false"/>
              <w:spacing w:before="120" w:after="120"/>
              <w:rPr>
                <w:b w:val="false"/>
                <w:sz w:val="26"/>
                <w:szCs w:val="26"/>
              </w:rPr>
            </w:pPr>
            <w:r>
              <w:rPr>
                <w:b w:val="false"/>
                <w:sz w:val="26"/>
                <w:szCs w:val="26"/>
              </w:rPr>
              <w:t xml:space="preserve">ОГРН </w:t>
            </w:r>
            <w:r>
              <w:rPr>
                <w:b w:val="false"/>
                <w:bCs/>
                <w:sz w:val="26"/>
                <w:szCs w:val="26"/>
              </w:rPr>
              <w:t>1065042071137</w:t>
            </w:r>
          </w:p>
          <w:p>
            <w:pPr>
              <w:pStyle w:val="Tableheader"/>
              <w:widowControl w:val="false"/>
              <w:spacing w:before="120" w:after="120"/>
              <w:rPr>
                <w:b w:val="false"/>
                <w:bCs/>
                <w:sz w:val="26"/>
                <w:szCs w:val="26"/>
              </w:rPr>
            </w:pPr>
            <w:r>
              <w:rPr>
                <w:b w:val="false"/>
                <w:sz w:val="26"/>
                <w:szCs w:val="26"/>
              </w:rPr>
              <w:t xml:space="preserve">ИНН </w:t>
            </w:r>
            <w:r>
              <w:rPr>
                <w:b w:val="false"/>
                <w:bCs/>
                <w:sz w:val="26"/>
                <w:szCs w:val="26"/>
              </w:rPr>
              <w:t>5042086312</w:t>
            </w:r>
          </w:p>
          <w:p>
            <w:pPr>
              <w:pStyle w:val="Tableheader"/>
              <w:widowControl w:val="false"/>
              <w:spacing w:before="120" w:after="120"/>
              <w:rPr>
                <w:b w:val="false"/>
                <w:bCs/>
                <w:sz w:val="26"/>
                <w:szCs w:val="26"/>
              </w:rPr>
            </w:pPr>
            <w:r>
              <w:rPr>
                <w:b w:val="false"/>
                <w:sz w:val="26"/>
                <w:szCs w:val="26"/>
              </w:rPr>
              <w:t xml:space="preserve">Место нахождения: </w:t>
            </w:r>
            <w:r>
              <w:rPr>
                <w:b w:val="false"/>
                <w:bCs/>
                <w:sz w:val="26"/>
                <w:szCs w:val="26"/>
              </w:rPr>
              <w:t>Российская Федерация, Московская область, г. Сергиев Посад</w:t>
            </w:r>
          </w:p>
          <w:p>
            <w:pPr>
              <w:pStyle w:val="Tableheader"/>
              <w:widowControl w:val="false"/>
              <w:spacing w:before="120" w:after="120"/>
              <w:rPr>
                <w:b w:val="false"/>
                <w:sz w:val="26"/>
                <w:szCs w:val="26"/>
              </w:rPr>
            </w:pPr>
            <w:r>
              <w:rPr>
                <w:b w:val="false"/>
                <w:sz w:val="26"/>
                <w:szCs w:val="26"/>
              </w:rPr>
              <w:t xml:space="preserve">Почтовый адрес: </w:t>
            </w:r>
            <w:r>
              <w:rPr>
                <w:b w:val="false"/>
                <w:bCs/>
                <w:sz w:val="26"/>
                <w:szCs w:val="26"/>
              </w:rPr>
              <w:t>141342, Российская Федерация, Московская область, г. Сергиев Посад, рабочий поселок Богородское, д. 101</w:t>
            </w:r>
          </w:p>
          <w:p>
            <w:pPr>
              <w:pStyle w:val="Tableheader"/>
              <w:widowControl w:val="false"/>
              <w:spacing w:before="120" w:after="120"/>
              <w:rPr>
                <w:b w:val="false"/>
                <w:sz w:val="26"/>
                <w:szCs w:val="26"/>
              </w:rPr>
            </w:pPr>
            <w:r>
              <w:rPr>
                <w:b w:val="false"/>
                <w:sz w:val="26"/>
                <w:szCs w:val="26"/>
              </w:rPr>
              <w:t xml:space="preserve">Адрес электронной почты: </w:t>
            </w:r>
            <w:hyperlink r:id="rId2">
              <w:r>
                <w:rPr>
                  <w:rStyle w:val="Hyperlink"/>
                  <w:b w:val="false"/>
                  <w:color w:val="auto"/>
                  <w:sz w:val="26"/>
                  <w:szCs w:val="26"/>
                  <w:u w:val="none"/>
                </w:rPr>
                <w:t>zagaes2@rushydro.ru</w:t>
              </w:r>
            </w:hyperlink>
          </w:p>
          <w:p>
            <w:pPr>
              <w:pStyle w:val="Tableheader"/>
              <w:widowControl w:val="false"/>
              <w:spacing w:before="120" w:after="120"/>
              <w:rPr>
                <w:rStyle w:val="Style4"/>
                <w:b/>
                <w:i w:val="false"/>
                <w:i w:val="false"/>
                <w:sz w:val="26"/>
                <w:szCs w:val="26"/>
                <w:shd w:fill="auto" w:val="clear"/>
              </w:rPr>
            </w:pPr>
            <w:r>
              <w:rPr>
                <w:b w:val="false"/>
                <w:sz w:val="26"/>
                <w:szCs w:val="26"/>
              </w:rPr>
              <w:t>Контактный телефон: +7 496 545 45 00</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44" w:name="_Ref249842235"/>
            <w:bookmarkStart w:id="45" w:name="_Ref249842235"/>
            <w:bookmarkEnd w:id="45"/>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Организатор продажи</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0"/>
              <w:rPr>
                <w:b w:val="false"/>
                <w:sz w:val="26"/>
                <w:szCs w:val="26"/>
              </w:rPr>
            </w:pPr>
            <w:r>
              <w:rPr>
                <w:b w:val="false"/>
                <w:sz w:val="26"/>
                <w:szCs w:val="26"/>
              </w:rPr>
              <w:t>Наименование: Акционерное общество «Загорская ГАЭС-2» (АО «Загорская ГАЭС-2»)</w:t>
            </w:r>
          </w:p>
          <w:p>
            <w:pPr>
              <w:pStyle w:val="Tableheader"/>
              <w:widowControl w:val="false"/>
              <w:spacing w:before="120" w:after="120"/>
              <w:rPr>
                <w:b w:val="false"/>
                <w:sz w:val="26"/>
                <w:szCs w:val="26"/>
              </w:rPr>
            </w:pPr>
            <w:r>
              <w:rPr>
                <w:b w:val="false"/>
                <w:sz w:val="26"/>
                <w:szCs w:val="26"/>
              </w:rPr>
              <w:t xml:space="preserve">ОГРН </w:t>
            </w:r>
            <w:r>
              <w:rPr>
                <w:b w:val="false"/>
                <w:bCs/>
                <w:sz w:val="26"/>
                <w:szCs w:val="26"/>
              </w:rPr>
              <w:t>1065042071137</w:t>
            </w:r>
          </w:p>
          <w:p>
            <w:pPr>
              <w:pStyle w:val="Tableheader"/>
              <w:widowControl w:val="false"/>
              <w:spacing w:before="120" w:after="120"/>
              <w:rPr>
                <w:b w:val="false"/>
                <w:bCs/>
                <w:sz w:val="26"/>
                <w:szCs w:val="26"/>
              </w:rPr>
            </w:pPr>
            <w:r>
              <w:rPr>
                <w:b w:val="false"/>
                <w:sz w:val="26"/>
                <w:szCs w:val="26"/>
              </w:rPr>
              <w:t xml:space="preserve">ИНН </w:t>
            </w:r>
            <w:r>
              <w:rPr>
                <w:b w:val="false"/>
                <w:bCs/>
                <w:sz w:val="26"/>
                <w:szCs w:val="26"/>
              </w:rPr>
              <w:t>5042086312</w:t>
            </w:r>
          </w:p>
          <w:p>
            <w:pPr>
              <w:pStyle w:val="Tableheader"/>
              <w:widowControl w:val="false"/>
              <w:spacing w:before="120" w:after="120"/>
              <w:rPr>
                <w:b w:val="false"/>
                <w:bCs/>
                <w:sz w:val="26"/>
                <w:szCs w:val="26"/>
              </w:rPr>
            </w:pPr>
            <w:r>
              <w:rPr>
                <w:b w:val="false"/>
                <w:sz w:val="26"/>
                <w:szCs w:val="26"/>
              </w:rPr>
              <w:t xml:space="preserve">Место нахождения: </w:t>
            </w:r>
            <w:r>
              <w:rPr>
                <w:b w:val="false"/>
                <w:bCs/>
                <w:sz w:val="26"/>
                <w:szCs w:val="26"/>
              </w:rPr>
              <w:t>Российская Федерация, Московская область, г. Сергиев Посад</w:t>
            </w:r>
          </w:p>
          <w:p>
            <w:pPr>
              <w:pStyle w:val="Tableheader"/>
              <w:widowControl w:val="false"/>
              <w:spacing w:before="120" w:after="120"/>
              <w:rPr>
                <w:b w:val="false"/>
                <w:sz w:val="26"/>
                <w:szCs w:val="26"/>
              </w:rPr>
            </w:pPr>
            <w:r>
              <w:rPr>
                <w:b w:val="false"/>
                <w:sz w:val="26"/>
                <w:szCs w:val="26"/>
              </w:rPr>
              <w:t xml:space="preserve">Почтовый адрес: </w:t>
            </w:r>
            <w:r>
              <w:rPr>
                <w:b w:val="false"/>
                <w:bCs/>
                <w:sz w:val="26"/>
                <w:szCs w:val="26"/>
              </w:rPr>
              <w:t>141342, Российская Федерация, Московская область, г. Сергиев Посад, рабочий поселок Богородское, д. 101</w:t>
            </w:r>
          </w:p>
          <w:p>
            <w:pPr>
              <w:pStyle w:val="Tableheader"/>
              <w:widowControl w:val="false"/>
              <w:spacing w:before="120" w:after="120"/>
              <w:rPr>
                <w:b w:val="false"/>
                <w:sz w:val="26"/>
                <w:szCs w:val="26"/>
              </w:rPr>
            </w:pPr>
            <w:r>
              <w:rPr>
                <w:b w:val="false"/>
                <w:sz w:val="26"/>
                <w:szCs w:val="26"/>
              </w:rPr>
              <w:t xml:space="preserve">Адрес электронной почты: </w:t>
            </w:r>
            <w:hyperlink r:id="rId3">
              <w:r>
                <w:rPr>
                  <w:rStyle w:val="Hyperlink"/>
                  <w:b w:val="false"/>
                  <w:color w:val="auto"/>
                  <w:sz w:val="26"/>
                  <w:szCs w:val="26"/>
                  <w:u w:val="none"/>
                </w:rPr>
                <w:t>zagaes2@rushydro.ru</w:t>
              </w:r>
            </w:hyperlink>
          </w:p>
          <w:p>
            <w:pPr>
              <w:pStyle w:val="Tableheader"/>
              <w:widowControl w:val="false"/>
              <w:spacing w:before="120" w:after="120"/>
              <w:rPr>
                <w:rStyle w:val="Style4"/>
                <w:b/>
                <w:sz w:val="26"/>
                <w:szCs w:val="26"/>
              </w:rPr>
            </w:pPr>
            <w:r>
              <w:rPr>
                <w:b w:val="false"/>
                <w:sz w:val="26"/>
                <w:szCs w:val="26"/>
              </w:rPr>
              <w:t>Контактный телефон: +7 496 54 545 00</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46" w:name="_Ref384115792"/>
            <w:bookmarkStart w:id="47" w:name="_Ref384115792"/>
            <w:bookmarkEnd w:id="47"/>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Представитель Организатора продажи</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120"/>
              <w:rPr>
                <w:b w:val="false"/>
                <w:sz w:val="26"/>
                <w:szCs w:val="26"/>
              </w:rPr>
            </w:pPr>
            <w:r>
              <w:rPr>
                <w:b w:val="false"/>
                <w:sz w:val="26"/>
                <w:szCs w:val="26"/>
              </w:rPr>
              <w:t>Контактное лицо (Ф.И.О.): Каширин Роман Александрович</w:t>
            </w:r>
          </w:p>
          <w:p>
            <w:pPr>
              <w:pStyle w:val="Tableheader"/>
              <w:widowControl w:val="false"/>
              <w:spacing w:before="120" w:after="120"/>
              <w:rPr>
                <w:b w:val="false"/>
                <w:sz w:val="26"/>
                <w:szCs w:val="26"/>
              </w:rPr>
            </w:pPr>
            <w:r>
              <w:rPr>
                <w:b w:val="false"/>
                <w:sz w:val="26"/>
                <w:szCs w:val="26"/>
              </w:rPr>
              <w:t>Контактный телефон: +7 916 722-94-55</w:t>
            </w:r>
          </w:p>
          <w:p>
            <w:pPr>
              <w:pStyle w:val="Tableheader"/>
              <w:widowControl w:val="false"/>
              <w:spacing w:before="120" w:after="120"/>
              <w:rPr>
                <w:rStyle w:val="Style4"/>
                <w:b w:val="false"/>
                <w:i w:val="false"/>
                <w:i w:val="false"/>
                <w:sz w:val="26"/>
                <w:szCs w:val="26"/>
                <w:shd w:fill="auto" w:val="clear"/>
              </w:rPr>
            </w:pPr>
            <w:r>
              <w:rPr>
                <w:b w:val="false"/>
                <w:sz w:val="26"/>
                <w:szCs w:val="26"/>
              </w:rPr>
              <w:t>Адрес электронной почты: KashirinRA@rushydro.ru</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48" w:name="_Ref514462143"/>
            <w:bookmarkStart w:id="49" w:name="_Ref514462143"/>
            <w:bookmarkEnd w:id="49"/>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Официальный источник размещения информации о проведении Аукциона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567"/>
                <w:tab w:val="left" w:pos="426" w:leader="none"/>
              </w:tabs>
              <w:spacing w:before="120" w:after="120"/>
              <w:rPr/>
            </w:pPr>
            <w:r>
              <w:rPr/>
              <w:t xml:space="preserve">Официальным источником информации о проведении Аукциона является Электронная торговая площадка: </w:t>
              <w:br/>
              <w:t>АО «Российский аукционный дом» (сокращенно именуемое АО «РАД»)</w:t>
            </w:r>
          </w:p>
          <w:p>
            <w:pPr>
              <w:pStyle w:val="Normal"/>
              <w:widowControl w:val="false"/>
              <w:tabs>
                <w:tab w:val="clear" w:pos="567"/>
                <w:tab w:val="left" w:pos="426" w:leader="none"/>
              </w:tabs>
              <w:spacing w:before="120" w:after="120"/>
              <w:rPr>
                <w:rFonts w:eastAsia="Lucida Sans Unicode"/>
                <w:i/>
                <w:i/>
                <w:kern w:val="2"/>
                <w:shd w:fill="FFFF99" w:val="clear"/>
              </w:rPr>
            </w:pPr>
            <w:r>
              <w:rPr/>
              <w:t xml:space="preserve">Регламент ЭТП, в соответствии с которым проводится аукцион, размещен по адресу: </w:t>
            </w:r>
            <w:r>
              <w:rPr>
                <w:lang w:val="en-US"/>
              </w:rPr>
              <w:t>lot</w:t>
            </w:r>
            <w:r>
              <w:rPr/>
              <w:t>-</w:t>
            </w:r>
            <w:r>
              <w:rPr>
                <w:lang w:val="en-US"/>
              </w:rPr>
              <w:t>online</w:t>
            </w:r>
            <w:r>
              <w:rPr/>
              <w:t>.</w:t>
            </w:r>
            <w:r>
              <w:rPr>
                <w:lang w:val="en-US"/>
              </w:rPr>
              <w:t>ru</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50" w:name="_Ref384116250"/>
            <w:bookmarkStart w:id="51" w:name="_Ref384116250"/>
            <w:bookmarkEnd w:id="51"/>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Начальная цена продажи</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rStyle w:val="Style4"/>
                <w:b w:val="false"/>
              </w:rPr>
            </w:pPr>
            <w:r>
              <w:rPr/>
              <w:t xml:space="preserve">189 </w:t>
            </w:r>
            <w:r>
              <w:rPr/>
              <w:t>0</w:t>
            </w:r>
            <w:r>
              <w:rPr/>
              <w:t>00 000 (Сто восемьдесят девять миллионов) рублей 00 копеек с учетом НДС</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52" w:name="_Ref516229843"/>
            <w:bookmarkStart w:id="53" w:name="_Ref516229843"/>
            <w:bookmarkEnd w:id="53"/>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Шаг Аукциона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567"/>
                <w:tab w:val="left" w:pos="426" w:leader="none"/>
              </w:tabs>
              <w:spacing w:before="120" w:after="120"/>
              <w:rPr/>
            </w:pPr>
            <w:r>
              <w:rPr/>
              <w:t>Шаг аукциона 5</w:t>
            </w:r>
            <w:r>
              <w:rPr>
                <w:color w:val="000000" w:themeColor="text1"/>
              </w:rPr>
              <w:t>00 000 (Пятьсот тысяч) рублей 00 копеек</w:t>
            </w:r>
            <w:r>
              <w:rPr>
                <w:color w:val="000000" w:themeColor="text1"/>
                <w:szCs w:val="28"/>
              </w:rPr>
              <w:t xml:space="preserve"> с учетом НДС</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54" w:name="_Ref249865292"/>
            <w:bookmarkStart w:id="55" w:name="_Ref249865292"/>
            <w:bookmarkEnd w:id="55"/>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Задаток</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spacing w:before="120" w:after="120"/>
              <w:rPr>
                <w:rStyle w:val="Style4"/>
                <w:b w:val="false"/>
                <w:sz w:val="26"/>
                <w:szCs w:val="26"/>
              </w:rPr>
            </w:pPr>
            <w:r>
              <w:rPr>
                <w:sz w:val="26"/>
                <w:szCs w:val="26"/>
              </w:rPr>
              <w:t>Требуется</w:t>
            </w:r>
          </w:p>
          <w:p>
            <w:pPr>
              <w:pStyle w:val="Tabletext"/>
              <w:widowControl w:val="false"/>
              <w:spacing w:before="120" w:after="120"/>
              <w:rPr>
                <w:sz w:val="26"/>
                <w:szCs w:val="26"/>
              </w:rPr>
            </w:pPr>
            <w:r>
              <w:rPr>
                <w:sz w:val="26"/>
                <w:szCs w:val="26"/>
              </w:rPr>
              <w:t>Размер задатка составляет 500 000 (Пятьсот тысяч) рублей 00 копеек с учетом НДС.</w:t>
            </w:r>
          </w:p>
          <w:p>
            <w:pPr>
              <w:pStyle w:val="Normal"/>
              <w:widowControl w:val="false"/>
              <w:tabs>
                <w:tab w:val="clear" w:pos="567"/>
                <w:tab w:val="left" w:pos="426" w:leader="none"/>
              </w:tabs>
              <w:spacing w:before="120" w:after="120"/>
              <w:rPr>
                <w:b/>
                <w:i/>
                <w:i/>
              </w:rPr>
            </w:pPr>
            <w:r>
              <w:rPr/>
              <w:t xml:space="preserve">Для участия в аукционе Заявитель в срок не позднее окончания срока подачи заявок (пункт </w:t>
            </w:r>
            <w:r>
              <w:rPr/>
              <w:fldChar w:fldCharType="begin"/>
            </w:r>
            <w:r>
              <w:rPr/>
              <w:instrText xml:space="preserve"> REF _Ref389823218 \r \h </w:instrText>
            </w:r>
            <w:r>
              <w:rPr/>
              <w:fldChar w:fldCharType="separate"/>
            </w:r>
            <w:r>
              <w:rPr/>
              <w:t>1.2.15</w:t>
            </w:r>
            <w:r>
              <w:rPr/>
              <w:fldChar w:fldCharType="end"/>
            </w:r>
            <w:r>
              <w:rPr/>
              <w:t>) обязан внести на индивидуальный счет, открытый Участнику оператором ЭТП в соответствии с Регламентом ЭТП, вышеуказанную сумму задатка.</w:t>
            </w:r>
          </w:p>
          <w:p>
            <w:pPr>
              <w:pStyle w:val="Tabletext"/>
              <w:widowControl w:val="false"/>
              <w:spacing w:before="120" w:after="120"/>
              <w:rPr>
                <w:bCs/>
                <w:iCs/>
                <w:sz w:val="26"/>
                <w:szCs w:val="26"/>
              </w:rPr>
            </w:pPr>
            <w:r>
              <w:rPr>
                <w:b/>
                <w:bCs/>
                <w:iCs/>
                <w:sz w:val="26"/>
                <w:szCs w:val="26"/>
              </w:rPr>
              <w:t xml:space="preserve">ВНИМАНИЕ! </w:t>
            </w:r>
            <w:r>
              <w:rPr>
                <w:bCs/>
                <w:iCs/>
                <w:sz w:val="26"/>
                <w:szCs w:val="26"/>
              </w:rPr>
              <w:t>Для того чтобы иметь возможность подать заявку на участие в аукционе, в соответствии с Регламентом ЭТП на счете Участника, открытом ему оператором ЭТП, должна быть сумма денежных средств, предусмотренная Регламентом ЭТП.</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56" w:name="_Ref49356163"/>
            <w:bookmarkStart w:id="57" w:name="_Ref49356163"/>
            <w:bookmarkEnd w:id="57"/>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Дата размещения Извещения о проведении Аукциона</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Tabletext"/>
              <w:widowControl w:val="false"/>
              <w:spacing w:before="120" w:after="120"/>
              <w:rPr>
                <w:shd w:fill="FFFF00" w:val="clear"/>
              </w:rPr>
            </w:pPr>
            <w:r>
              <w:rPr>
                <w:sz w:val="26"/>
                <w:szCs w:val="26"/>
              </w:rPr>
              <w:t>«28» августа 2025 года</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58" w:name="_Ref513811076"/>
            <w:bookmarkStart w:id="59" w:name="_Ref513811076"/>
            <w:bookmarkEnd w:id="59"/>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Место подачи Заявок</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text"/>
              <w:widowControl w:val="false"/>
              <w:spacing w:before="120" w:after="120"/>
              <w:rPr>
                <w:rStyle w:val="Style4"/>
                <w:b w:val="false"/>
                <w:i w:val="false"/>
                <w:i w:val="false"/>
                <w:sz w:val="26"/>
                <w:szCs w:val="26"/>
                <w:shd w:fill="auto" w:val="clear"/>
              </w:rPr>
            </w:pPr>
            <w:r>
              <w:rPr>
                <w:sz w:val="26"/>
                <w:szCs w:val="26"/>
              </w:rPr>
              <w:t xml:space="preserve">Заявки подаются по адресу ЭТП, указанному в пункте </w:t>
            </w:r>
            <w:r>
              <w:rPr>
                <w:sz w:val="26"/>
                <w:szCs w:val="26"/>
              </w:rPr>
              <w:fldChar w:fldCharType="begin"/>
            </w:r>
            <w:r>
              <w:rPr>
                <w:sz w:val="26"/>
                <w:szCs w:val="26"/>
              </w:rPr>
              <w:instrText xml:space="preserve"> REF _Ref458187651 \r \h </w:instrText>
            </w:r>
            <w:r>
              <w:rPr>
                <w:sz w:val="26"/>
                <w:szCs w:val="26"/>
              </w:rPr>
              <w:fldChar w:fldCharType="separate"/>
            </w:r>
            <w:r>
              <w:rPr>
                <w:sz w:val="26"/>
                <w:szCs w:val="26"/>
              </w:rPr>
              <w:t>1.2.3</w:t>
            </w:r>
            <w:r>
              <w:rPr>
                <w:sz w:val="26"/>
                <w:szCs w:val="26"/>
              </w:rPr>
              <w:fldChar w:fldCharType="end"/>
            </w:r>
            <w:r>
              <w:rPr>
                <w:sz w:val="26"/>
                <w:szCs w:val="26"/>
              </w:rPr>
              <w:t>.</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60" w:name="_Ref513817350"/>
            <w:bookmarkStart w:id="61" w:name="_Ref513817350"/>
            <w:bookmarkEnd w:id="61"/>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Срок предоставления Заявителям разъяснений по Документации о продаже</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pPr>
            <w:r>
              <w:rPr/>
              <w:t>Дата и время окончания срока предоставления разъяснений:</w:t>
            </w:r>
          </w:p>
          <w:p>
            <w:pPr>
              <w:pStyle w:val="Normal"/>
              <w:widowControl w:val="false"/>
              <w:spacing w:before="120" w:after="120"/>
              <w:rPr>
                <w:color w:val="000000" w:themeColor="text1"/>
              </w:rPr>
            </w:pPr>
            <w:r>
              <w:rPr/>
              <w:t>«13» октября 2025 года в 15 ч. 00 мин.</w:t>
            </w:r>
            <w:r>
              <w:rPr>
                <w:color w:val="000000" w:themeColor="text1"/>
              </w:rPr>
              <w:t xml:space="preserve"> (по московскому времени)</w:t>
            </w:r>
          </w:p>
          <w:p>
            <w:pPr>
              <w:pStyle w:val="Normal"/>
              <w:widowControl w:val="false"/>
              <w:spacing w:before="120" w:after="120"/>
              <w:rPr>
                <w:b/>
                <w:i/>
                <w:i/>
                <w:shd w:fill="FFFF99" w:val="clear"/>
              </w:rPr>
            </w:pPr>
            <w:r>
              <w:rPr/>
              <w:t xml:space="preserve">Организатор вправе не предоставлять разъяснение </w:t>
              <w:br/>
              <w:t xml:space="preserve">в случае, если запрос от Заявителя поступил позднее чем за 3 (три) рабочих дня до даты окончания срока подачи Заявок, установленной в пункте </w:t>
            </w:r>
            <w:r>
              <w:rPr/>
              <w:fldChar w:fldCharType="begin"/>
            </w:r>
            <w:r>
              <w:rPr/>
              <w:instrText xml:space="preserve"> REF _Ref389823218 \r \h </w:instrText>
            </w:r>
            <w:r>
              <w:rPr/>
              <w:fldChar w:fldCharType="separate"/>
            </w:r>
            <w:r>
              <w:rPr/>
              <w:t>1.2.15</w:t>
            </w:r>
            <w:r>
              <w:rPr/>
              <w:fldChar w:fldCharType="end"/>
            </w:r>
            <w:r>
              <w:rPr/>
              <w:t>.</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62" w:name="_Ref389823218"/>
            <w:bookmarkStart w:id="63" w:name="_Ref389823218"/>
            <w:bookmarkEnd w:id="63"/>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Дата начала – дата и время окончания срока подачи Заявок</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highlight w:val="none"/>
                <w:shd w:fill="auto" w:val="clear"/>
              </w:rPr>
            </w:pPr>
            <w:r>
              <w:rPr>
                <w:shd w:fill="auto" w:val="clear"/>
              </w:rPr>
              <w:t>Дата начала подачи Заявок:</w:t>
            </w:r>
          </w:p>
          <w:p>
            <w:pPr>
              <w:pStyle w:val="Normal"/>
              <w:widowControl w:val="false"/>
              <w:spacing w:before="120" w:after="120"/>
              <w:rPr>
                <w:highlight w:val="none"/>
                <w:shd w:fill="auto" w:val="clear"/>
              </w:rPr>
            </w:pPr>
            <w:r>
              <w:rPr>
                <w:shd w:fill="auto" w:val="clear"/>
              </w:rPr>
              <w:t>«28» августа 2025 года</w:t>
            </w:r>
          </w:p>
          <w:p>
            <w:pPr>
              <w:pStyle w:val="Normal"/>
              <w:widowControl w:val="false"/>
              <w:spacing w:before="120" w:after="120"/>
              <w:rPr>
                <w:highlight w:val="none"/>
                <w:shd w:fill="auto" w:val="clear"/>
              </w:rPr>
            </w:pPr>
            <w:r>
              <w:rPr>
                <w:shd w:fill="auto" w:val="clear"/>
              </w:rPr>
              <w:t>Дата и время окончания срока подачи заявок:</w:t>
            </w:r>
          </w:p>
          <w:p>
            <w:pPr>
              <w:pStyle w:val="Normal"/>
              <w:widowControl w:val="false"/>
              <w:spacing w:before="120" w:after="120"/>
              <w:rPr>
                <w:highlight w:val="none"/>
                <w:shd w:fill="auto" w:val="clear"/>
              </w:rPr>
            </w:pPr>
            <w:r>
              <w:rPr>
                <w:shd w:fill="auto" w:val="clear"/>
              </w:rPr>
              <w:t>«13» октября 2025 года в 15 ч. 00 мин.</w:t>
            </w:r>
            <w:r>
              <w:rPr>
                <w:color w:val="000000" w:themeColor="text1"/>
                <w:shd w:fill="auto" w:val="clear"/>
              </w:rPr>
              <w:t xml:space="preserve"> (по московскому времени)</w:t>
            </w:r>
            <w:bookmarkStart w:id="64" w:name="_Hlk523933542"/>
            <w:bookmarkEnd w:id="64"/>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65" w:name="_Ref334789513"/>
            <w:bookmarkStart w:id="66" w:name="_Ref334789513"/>
            <w:bookmarkEnd w:id="66"/>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Дата окончания рассмотрения Заявок</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rPr>
                <w:highlight w:val="none"/>
                <w:shd w:fill="auto" w:val="clear"/>
              </w:rPr>
            </w:pPr>
            <w:r>
              <w:rPr>
                <w:color w:val="000000" w:themeColor="text1"/>
                <w:shd w:fill="auto" w:val="clear"/>
              </w:rPr>
              <w:t>«21» октября 2025 года</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67" w:name="_Ref516229879"/>
            <w:bookmarkStart w:id="68" w:name="_Ref516229879"/>
            <w:bookmarkEnd w:id="68"/>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Дата и время проведения Аукциона</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rPr>
                <w:highlight w:val="none"/>
                <w:shd w:fill="auto" w:val="clear"/>
              </w:rPr>
            </w:pPr>
            <w:r>
              <w:rPr>
                <w:color w:val="000000" w:themeColor="text1"/>
                <w:shd w:fill="auto" w:val="clear"/>
              </w:rPr>
              <w:t>«24» октября 2025 года в 11 ч. 00 мин. (по московскому времени)</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bookmarkStart w:id="69" w:name="_Ref536798161"/>
            <w:bookmarkStart w:id="70" w:name="_Ref536798161"/>
            <w:bookmarkEnd w:id="70"/>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Дата подведения итогов</w:t>
            </w:r>
          </w:p>
        </w:tc>
        <w:tc>
          <w:tcPr>
            <w:tcW w:w="69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rPr>
                <w:highlight w:val="none"/>
                <w:shd w:fill="auto" w:val="clear"/>
              </w:rPr>
            </w:pPr>
            <w:r>
              <w:rPr>
                <w:color w:val="000000" w:themeColor="text1"/>
                <w:shd w:fill="auto" w:val="clear"/>
              </w:rPr>
              <w:t>«31» октября 2025 года</w:t>
            </w:r>
          </w:p>
        </w:tc>
      </w:tr>
      <w:tr>
        <w:trPr/>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yle25"/>
              <w:widowControl w:val="false"/>
              <w:numPr>
                <w:ilvl w:val="2"/>
                <w:numId w:val="3"/>
              </w:numPr>
              <w:tabs>
                <w:tab w:val="clear" w:pos="567"/>
                <w:tab w:val="left" w:pos="777" w:leader="none"/>
              </w:tabs>
              <w:spacing w:before="120" w:after="120"/>
              <w:ind w:left="0" w:hanging="0"/>
              <w:jc w:val="center"/>
              <w:rPr/>
            </w:pPr>
            <w:r>
              <w:rPr/>
            </w:r>
          </w:p>
        </w:tc>
        <w:tc>
          <w:tcPr>
            <w:tcW w:w="2394"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120"/>
              <w:jc w:val="left"/>
              <w:rPr>
                <w:sz w:val="26"/>
                <w:szCs w:val="26"/>
              </w:rPr>
            </w:pPr>
            <w:r>
              <w:rPr>
                <w:sz w:val="26"/>
                <w:szCs w:val="26"/>
              </w:rPr>
              <w:t>Порядок подведения итогов Процедуры</w:t>
            </w:r>
          </w:p>
        </w:tc>
        <w:tc>
          <w:tcPr>
            <w:tcW w:w="69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120"/>
              <w:rPr>
                <w:b w:val="false"/>
                <w:sz w:val="26"/>
                <w:szCs w:val="26"/>
              </w:rPr>
            </w:pPr>
            <w:r>
              <w:rPr>
                <w:b w:val="false"/>
                <w:sz w:val="26"/>
                <w:szCs w:val="26"/>
              </w:rPr>
              <w:t>Единственным критерием выбора победителя Аукциона является цена Договора (цена Заявки), при условии соответствия Заявки требованиям Документации.</w:t>
            </w:r>
          </w:p>
          <w:p>
            <w:pPr>
              <w:pStyle w:val="Normal"/>
              <w:widowControl w:val="false"/>
              <w:spacing w:before="120" w:after="120"/>
              <w:rPr/>
            </w:pPr>
            <w:r>
              <w:rPr/>
              <w:t>Победителем Аукциона признается Участник, предложивший наиболее высокую цену Договора (цену заявки).</w:t>
            </w:r>
          </w:p>
        </w:tc>
      </w:tr>
    </w:tbl>
    <w:p>
      <w:pPr>
        <w:pStyle w:val="Heading1"/>
        <w:numPr>
          <w:ilvl w:val="0"/>
          <w:numId w:val="3"/>
        </w:numPr>
        <w:rPr>
          <w:rFonts w:ascii="Times New Roman" w:hAnsi="Times New Roman"/>
          <w:sz w:val="28"/>
          <w:szCs w:val="28"/>
        </w:rPr>
      </w:pPr>
      <w:bookmarkStart w:id="71" w:name="_Toc187829893"/>
      <w:bookmarkStart w:id="72" w:name="_Ref514448858"/>
      <w:bookmarkStart w:id="73" w:name="_Toc55193146"/>
      <w:bookmarkStart w:id="74" w:name="_Toc518119233"/>
      <w:bookmarkStart w:id="75" w:name="_Toc517582613"/>
      <w:bookmarkStart w:id="76" w:name="_Toc517582289"/>
      <w:r>
        <w:rPr>
          <w:rFonts w:ascii="Times New Roman" w:hAnsi="Times New Roman"/>
          <w:sz w:val="28"/>
          <w:szCs w:val="28"/>
        </w:rPr>
        <w:t xml:space="preserve">ОБЩИЕ </w:t>
      </w:r>
      <w:bookmarkEnd w:id="73"/>
      <w:bookmarkEnd w:id="74"/>
      <w:bookmarkEnd w:id="75"/>
      <w:bookmarkEnd w:id="76"/>
      <w:r>
        <w:rPr>
          <w:rFonts w:ascii="Times New Roman" w:hAnsi="Times New Roman"/>
          <w:sz w:val="28"/>
          <w:szCs w:val="28"/>
        </w:rPr>
        <w:t>ПОЛОЖЕНИЯ</w:t>
      </w:r>
      <w:bookmarkEnd w:id="1"/>
      <w:bookmarkEnd w:id="2"/>
      <w:bookmarkEnd w:id="3"/>
      <w:bookmarkEnd w:id="4"/>
      <w:bookmarkEnd w:id="5"/>
      <w:bookmarkEnd w:id="6"/>
      <w:bookmarkEnd w:id="7"/>
      <w:bookmarkEnd w:id="8"/>
      <w:bookmarkEnd w:id="9"/>
      <w:bookmarkEnd w:id="10"/>
      <w:bookmarkEnd w:id="11"/>
      <w:bookmarkEnd w:id="12"/>
      <w:bookmarkEnd w:id="19"/>
      <w:bookmarkEnd w:id="71"/>
      <w:bookmarkEnd w:id="72"/>
    </w:p>
    <w:p>
      <w:pPr>
        <w:pStyle w:val="Heading2"/>
        <w:numPr>
          <w:ilvl w:val="1"/>
          <w:numId w:val="3"/>
        </w:numPr>
        <w:ind w:left="1134" w:hanging="1134"/>
        <w:rPr>
          <w:sz w:val="26"/>
        </w:rPr>
      </w:pPr>
      <w:bookmarkStart w:id="77" w:name="_Toc187829894"/>
      <w:bookmarkStart w:id="78" w:name="_Toc69728941"/>
      <w:bookmarkStart w:id="79" w:name="_Toc57314615"/>
      <w:bookmarkStart w:id="80" w:name="_Toc55305369"/>
      <w:bookmarkStart w:id="81" w:name="_Toc55285335"/>
      <w:r>
        <w:rPr>
          <w:sz w:val="26"/>
        </w:rPr>
        <w:t xml:space="preserve">Общие сведения </w:t>
      </w:r>
      <w:bookmarkEnd w:id="78"/>
      <w:bookmarkEnd w:id="79"/>
      <w:bookmarkEnd w:id="80"/>
      <w:bookmarkEnd w:id="81"/>
      <w:r>
        <w:rPr>
          <w:sz w:val="26"/>
        </w:rPr>
        <w:t>о продаже</w:t>
      </w:r>
      <w:bookmarkEnd w:id="77"/>
    </w:p>
    <w:p>
      <w:pPr>
        <w:pStyle w:val="Style25"/>
        <w:numPr>
          <w:ilvl w:val="2"/>
          <w:numId w:val="3"/>
        </w:numPr>
        <w:ind w:left="1134" w:hanging="1134"/>
        <w:rPr/>
      </w:pPr>
      <w:bookmarkStart w:id="82" w:name="Общие_сведения"/>
      <w:bookmarkStart w:id="83" w:name="_Ref55193512"/>
      <w:r>
        <w:rPr/>
        <w:t xml:space="preserve">Организатор, указанный в пункте </w:t>
      </w:r>
      <w:r>
        <w:rPr/>
        <w:fldChar w:fldCharType="begin"/>
      </w:r>
      <w:r>
        <w:rPr/>
        <w:instrText xml:space="preserve"> REF _Ref249842235 \r \h </w:instrText>
      </w:r>
      <w:r>
        <w:rPr/>
        <w:fldChar w:fldCharType="separate"/>
      </w:r>
      <w:r>
        <w:rPr/>
        <w:t>1.2.6</w:t>
      </w:r>
      <w:r>
        <w:rPr/>
        <w:fldChar w:fldCharType="end"/>
      </w:r>
      <w:r>
        <w:rPr/>
        <w:t xml:space="preserve">, Извещением, официально размещенным от даты, указанной в пункте </w:t>
      </w:r>
      <w:r>
        <w:rPr/>
        <w:fldChar w:fldCharType="begin"/>
      </w:r>
      <w:r>
        <w:rPr/>
        <w:instrText xml:space="preserve"> REF _Ref49356163 \r \h </w:instrText>
      </w:r>
      <w:r>
        <w:rPr/>
        <w:fldChar w:fldCharType="separate"/>
      </w:r>
      <w:r>
        <w:rPr/>
        <w:t>1.2.12</w:t>
      </w:r>
      <w:r>
        <w:rPr/>
        <w:fldChar w:fldCharType="end"/>
      </w:r>
      <w:r>
        <w:rPr/>
        <w:t xml:space="preserve">, приглашает лиц, указанных в пункте </w:t>
      </w:r>
      <w:r>
        <w:rPr/>
        <w:fldChar w:fldCharType="begin"/>
      </w:r>
      <w:r>
        <w:rPr/>
        <w:instrText xml:space="preserve"> REF _Ref49356191 \r \h </w:instrText>
      </w:r>
      <w:r>
        <w:rPr/>
        <w:fldChar w:fldCharType="separate"/>
      </w:r>
      <w:r>
        <w:rPr/>
        <w:t>1.2.4</w:t>
      </w:r>
      <w:r>
        <w:rPr/>
        <w:fldChar w:fldCharType="end"/>
      </w:r>
      <w:r>
        <w:rPr/>
        <w:t xml:space="preserve">, </w:t>
        <w:br/>
        <w:t xml:space="preserve">к участию в Аукционе </w:t>
      </w:r>
      <w:bookmarkEnd w:id="82"/>
      <w:bookmarkEnd w:id="83"/>
      <w:r>
        <w:rPr/>
        <w:t xml:space="preserve">на право заключения Договора, предмет которого указан в пункте </w:t>
      </w:r>
      <w:r>
        <w:rPr/>
        <w:fldChar w:fldCharType="begin"/>
      </w:r>
      <w:r>
        <w:rPr/>
        <w:instrText xml:space="preserve"> REF _Ref249785568 \r \h </w:instrText>
      </w:r>
      <w:r>
        <w:rPr/>
        <w:fldChar w:fldCharType="separate"/>
      </w:r>
      <w:r>
        <w:rPr/>
        <w:t>1.2.1</w:t>
      </w:r>
      <w:r>
        <w:rPr/>
        <w:fldChar w:fldCharType="end"/>
      </w:r>
      <w:r>
        <w:rPr/>
        <w:t>.</w:t>
      </w:r>
    </w:p>
    <w:p>
      <w:pPr>
        <w:pStyle w:val="Style25"/>
        <w:numPr>
          <w:ilvl w:val="2"/>
          <w:numId w:val="3"/>
        </w:numPr>
        <w:ind w:left="1134" w:hanging="1134"/>
        <w:rPr/>
      </w:pPr>
      <w:r>
        <w:rPr/>
        <w:t xml:space="preserve">Для справок следует обращаться к представителю Организатора, указанному </w:t>
        <w:br/>
        <w:t xml:space="preserve">в пункте </w:t>
      </w:r>
      <w:r>
        <w:rPr/>
        <w:fldChar w:fldCharType="begin"/>
      </w:r>
      <w:r>
        <w:rPr/>
        <w:instrText xml:space="preserve"> REF _Ref384115792 \r \h </w:instrText>
      </w:r>
      <w:r>
        <w:rPr/>
        <w:fldChar w:fldCharType="separate"/>
      </w:r>
      <w:r>
        <w:rPr/>
        <w:t>1.2.7</w:t>
      </w:r>
      <w:r>
        <w:rPr/>
        <w:fldChar w:fldCharType="end"/>
      </w:r>
      <w:r>
        <w:rPr/>
        <w:t>.</w:t>
      </w:r>
    </w:p>
    <w:p>
      <w:pPr>
        <w:pStyle w:val="Heading2"/>
        <w:numPr>
          <w:ilvl w:val="1"/>
          <w:numId w:val="3"/>
        </w:numPr>
        <w:ind w:left="1134" w:hanging="1134"/>
        <w:rPr>
          <w:sz w:val="26"/>
        </w:rPr>
      </w:pPr>
      <w:bookmarkStart w:id="84" w:name="_Toc187829895"/>
      <w:bookmarkStart w:id="85" w:name="_Ref56231144"/>
      <w:bookmarkStart w:id="86" w:name="_Toc69728943"/>
      <w:bookmarkStart w:id="87" w:name="_Ref56231140"/>
      <w:bookmarkStart w:id="88" w:name="_Toc55305370"/>
      <w:bookmarkStart w:id="89" w:name="_Ref55313246"/>
      <w:bookmarkStart w:id="90" w:name="_Toc57314617"/>
      <w:bookmarkStart w:id="91" w:name="_Toc55285336"/>
      <w:bookmarkStart w:id="92" w:name="_Toc518119237"/>
      <w:bookmarkStart w:id="93" w:name="_Toc514455538"/>
      <w:bookmarkEnd w:id="92"/>
      <w:bookmarkEnd w:id="93"/>
      <w:r>
        <w:rPr>
          <w:sz w:val="26"/>
        </w:rPr>
        <w:t>Правовой статус документов</w:t>
      </w:r>
      <w:bookmarkEnd w:id="84"/>
      <w:bookmarkEnd w:id="85"/>
      <w:bookmarkEnd w:id="86"/>
      <w:bookmarkEnd w:id="87"/>
      <w:bookmarkEnd w:id="88"/>
      <w:bookmarkEnd w:id="89"/>
      <w:bookmarkEnd w:id="90"/>
      <w:bookmarkEnd w:id="91"/>
    </w:p>
    <w:p>
      <w:pPr>
        <w:pStyle w:val="Style25"/>
        <w:numPr>
          <w:ilvl w:val="2"/>
          <w:numId w:val="53"/>
        </w:numPr>
        <w:ind w:left="1134" w:hanging="1134"/>
        <w:rPr/>
      </w:pPr>
      <w:bookmarkStart w:id="94" w:name="_Toc518119237_Копия_1"/>
      <w:bookmarkStart w:id="95" w:name="_Toc66354324"/>
      <w:bookmarkStart w:id="96" w:name="_Toc69728944"/>
      <w:bookmarkStart w:id="97" w:name="_Toc57314619"/>
      <w:bookmarkStart w:id="98" w:name="_Toc55305373"/>
      <w:bookmarkStart w:id="99" w:name="_Toc55285339"/>
      <w:bookmarkEnd w:id="94"/>
      <w:bookmarkEnd w:id="95"/>
      <w:bookmarkEnd w:id="96"/>
      <w:bookmarkEnd w:id="97"/>
      <w:bookmarkEnd w:id="98"/>
      <w:bookmarkEnd w:id="99"/>
      <w:r>
        <w:rPr/>
        <w:t xml:space="preserve">Документация вместе с Извещением, являющимся ее неотъемлемой частью, являются публичной офертой Продавца в соответствии со статьей 437 ГК РФ </w:t>
        <w:br/>
        <w:t xml:space="preserve">и должны рассматриваться Участниками в соответствии с этим до подведения итогов Аукциона. </w:t>
      </w:r>
    </w:p>
    <w:p>
      <w:pPr>
        <w:pStyle w:val="Style25"/>
        <w:numPr>
          <w:ilvl w:val="2"/>
          <w:numId w:val="54"/>
        </w:numPr>
        <w:ind w:left="1134" w:hanging="1134"/>
        <w:rPr/>
      </w:pPr>
      <w:r>
        <w:rPr/>
        <w:t>Заявка Заявителя / Участника в соответствии со ст. 438 ГК РФ является акцептом такой оферты Продавца.</w:t>
      </w:r>
    </w:p>
    <w:p>
      <w:pPr>
        <w:pStyle w:val="Heading2"/>
        <w:numPr>
          <w:ilvl w:val="1"/>
          <w:numId w:val="3"/>
        </w:numPr>
        <w:ind w:left="1134" w:hanging="1134"/>
        <w:rPr>
          <w:sz w:val="26"/>
        </w:rPr>
      </w:pPr>
      <w:bookmarkStart w:id="100" w:name="_Toc69728946"/>
      <w:bookmarkStart w:id="101" w:name="_Toc57314621"/>
      <w:bookmarkStart w:id="102" w:name="_Toc187829896"/>
      <w:bookmarkStart w:id="103" w:name="_Ref514509614"/>
      <w:bookmarkStart w:id="104" w:name="_Toc55285339_Копия_1"/>
      <w:bookmarkStart w:id="105" w:name="_Toc69728944_Копия_1"/>
      <w:bookmarkStart w:id="106" w:name="_Toc502257141"/>
      <w:bookmarkStart w:id="107" w:name="_Toc501038041"/>
      <w:bookmarkStart w:id="108" w:name="_Toc66354324_Копия_1"/>
      <w:bookmarkStart w:id="109" w:name="_Toc57314619_Копия_1"/>
      <w:bookmarkStart w:id="110" w:name="_Toc55305373_Копия_1"/>
      <w:bookmarkEnd w:id="104"/>
      <w:bookmarkEnd w:id="105"/>
      <w:bookmarkEnd w:id="106"/>
      <w:bookmarkEnd w:id="107"/>
      <w:bookmarkEnd w:id="108"/>
      <w:bookmarkEnd w:id="109"/>
      <w:bookmarkEnd w:id="110"/>
      <w:r>
        <w:rPr>
          <w:sz w:val="26"/>
        </w:rPr>
        <w:t>Особые положения при проведении Аукциона с использованием ЭТП</w:t>
      </w:r>
      <w:bookmarkEnd w:id="102"/>
      <w:bookmarkEnd w:id="103"/>
    </w:p>
    <w:p>
      <w:pPr>
        <w:pStyle w:val="Style25"/>
        <w:numPr>
          <w:ilvl w:val="2"/>
          <w:numId w:val="3"/>
        </w:numPr>
        <w:ind w:left="1134" w:hanging="1134"/>
        <w:rPr/>
      </w:pPr>
      <w:r>
        <w:rPr/>
        <w:t xml:space="preserve">Наименование ЭТП, посредством которой проводится Аукцион, указано </w:t>
        <w:br/>
        <w:t xml:space="preserve">в пункте </w:t>
      </w:r>
      <w:r>
        <w:rPr/>
        <w:fldChar w:fldCharType="begin"/>
      </w:r>
      <w:r>
        <w:rPr/>
        <w:instrText xml:space="preserve"> REF _Ref458187651 \r \h </w:instrText>
      </w:r>
      <w:r>
        <w:rPr/>
        <w:fldChar w:fldCharType="separate"/>
      </w:r>
      <w:r>
        <w:rPr/>
        <w:t>1.2.3</w:t>
      </w:r>
      <w:r>
        <w:rPr/>
        <w:fldChar w:fldCharType="end"/>
      </w:r>
      <w:r>
        <w:rPr/>
        <w:t>. До подачи Заявки Заявитель обязан ознакомиться с Регламентом ЭТП.</w:t>
      </w:r>
    </w:p>
    <w:p>
      <w:pPr>
        <w:pStyle w:val="Style25"/>
        <w:numPr>
          <w:ilvl w:val="2"/>
          <w:numId w:val="3"/>
        </w:numPr>
        <w:ind w:left="1134" w:hanging="1134"/>
        <w:rPr/>
      </w:pPr>
      <w:r>
        <w:rPr/>
        <w:t xml:space="preserve">Для участия в Аукционе Заявитель должен пройти процедуру регистрации (аккредитации) на ЭТП. Аккредитация осуществляется Оператором ЭТП, </w:t>
        <w:br/>
        <w:t>и Организатор или Продавец не несут ответственности за результат ее прохождения Заявителем, в том числе понесенные им расходы.</w:t>
      </w:r>
    </w:p>
    <w:p>
      <w:pPr>
        <w:pStyle w:val="Style25"/>
        <w:numPr>
          <w:ilvl w:val="2"/>
          <w:numId w:val="3"/>
        </w:numPr>
        <w:ind w:left="1134" w:hanging="1134"/>
        <w:rPr/>
      </w:pPr>
      <w:r>
        <w:rPr/>
        <w:t xml:space="preserve">Обмен между Заявителем / Участником, Продавцом / Организатором </w:t>
        <w:br/>
        <w:t xml:space="preserve">и Оператором ЭТП всей информацией, связанной с проведением Аукциона, осуществляется на ЭТП в форме электронных документов в соответствии </w:t>
        <w:br/>
        <w:t>с Регламентом ЭТП.</w:t>
      </w:r>
    </w:p>
    <w:p>
      <w:pPr>
        <w:pStyle w:val="Style25"/>
        <w:widowControl w:val="false"/>
        <w:numPr>
          <w:ilvl w:val="2"/>
          <w:numId w:val="3"/>
        </w:numPr>
        <w:ind w:left="1134" w:hanging="1134"/>
        <w:rPr/>
      </w:pPr>
      <w:r>
        <w:rPr/>
        <w:t xml:space="preserve">Цена Заявки и иные условия Аукциона, указанные Заявителем / Участником </w:t>
        <w:br/>
        <w:t>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pPr>
        <w:pStyle w:val="Heading2"/>
        <w:numPr>
          <w:ilvl w:val="1"/>
          <w:numId w:val="3"/>
        </w:numPr>
        <w:ind w:left="1134" w:hanging="1134"/>
        <w:rPr>
          <w:sz w:val="26"/>
        </w:rPr>
      </w:pPr>
      <w:bookmarkStart w:id="111" w:name="_Toc187829897"/>
      <w:bookmarkStart w:id="112" w:name="_Toc55305372"/>
      <w:bookmarkStart w:id="113" w:name="_Toc55285338"/>
      <w:r>
        <w:rPr>
          <w:sz w:val="26"/>
        </w:rPr>
        <w:t xml:space="preserve">Прочие </w:t>
      </w:r>
      <w:bookmarkEnd w:id="112"/>
      <w:bookmarkEnd w:id="113"/>
      <w:r>
        <w:rPr>
          <w:sz w:val="26"/>
        </w:rPr>
        <w:t>положения</w:t>
      </w:r>
      <w:bookmarkEnd w:id="100"/>
      <w:bookmarkEnd w:id="101"/>
      <w:bookmarkEnd w:id="111"/>
    </w:p>
    <w:p>
      <w:pPr>
        <w:pStyle w:val="Style25"/>
        <w:numPr>
          <w:ilvl w:val="2"/>
          <w:numId w:val="3"/>
        </w:numPr>
        <w:tabs>
          <w:tab w:val="clear" w:pos="567"/>
          <w:tab w:val="left" w:pos="3828" w:leader="none"/>
        </w:tabs>
        <w:ind w:left="1134" w:hanging="1134"/>
        <w:rPr/>
      </w:pPr>
      <w:r>
        <w:rPr/>
        <w:t>Заявитель / Участник самостоятельно несет все расходы, связанные с подготовкой и подачей Заявки. Организатор или Продавец по этим расходам не отвечают и не имеют обязательств, за исключением случаев, прямо установленных гражданским законодательством РФ.</w:t>
      </w:r>
    </w:p>
    <w:p>
      <w:pPr>
        <w:pStyle w:val="Style25"/>
        <w:numPr>
          <w:ilvl w:val="2"/>
          <w:numId w:val="3"/>
        </w:numPr>
        <w:tabs>
          <w:tab w:val="clear" w:pos="567"/>
          <w:tab w:val="left" w:pos="3828" w:leader="none"/>
        </w:tabs>
        <w:ind w:left="1134" w:hanging="1134"/>
        <w:rPr/>
      </w:pPr>
      <w:r>
        <w:rPr/>
        <w:t>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Аукциона, либо оказывал на этих лиц давление в иной форме.</w:t>
      </w:r>
    </w:p>
    <w:p>
      <w:pPr>
        <w:pStyle w:val="Heading1"/>
        <w:numPr>
          <w:ilvl w:val="0"/>
          <w:numId w:val="3"/>
        </w:numPr>
        <w:rPr>
          <w:rFonts w:ascii="Times New Roman" w:hAnsi="Times New Roman"/>
          <w:caps/>
          <w:kern w:val="0"/>
          <w:sz w:val="28"/>
          <w:szCs w:val="28"/>
        </w:rPr>
      </w:pPr>
      <w:bookmarkStart w:id="114" w:name="_Ref514453315"/>
      <w:bookmarkStart w:id="115" w:name="_Ref93088240"/>
      <w:bookmarkStart w:id="116" w:name="_Toc187829898"/>
      <w:bookmarkStart w:id="117" w:name="ИНСТРУКЦИИ"/>
      <w:bookmarkStart w:id="118" w:name="_Toc311803629"/>
      <w:bookmarkStart w:id="119" w:name="_Toc197150336"/>
      <w:bookmarkStart w:id="120" w:name="_Toc197149867"/>
      <w:bookmarkEnd w:id="117"/>
      <w:bookmarkEnd w:id="118"/>
      <w:bookmarkEnd w:id="119"/>
      <w:bookmarkEnd w:id="120"/>
      <w:r>
        <w:rPr>
          <w:rFonts w:ascii="Times New Roman" w:hAnsi="Times New Roman"/>
          <w:caps/>
          <w:kern w:val="0"/>
          <w:sz w:val="28"/>
          <w:szCs w:val="28"/>
        </w:rPr>
        <w:t>ПРЕДМЕТ ПРОДАЖИ</w:t>
      </w:r>
      <w:bookmarkEnd w:id="116"/>
    </w:p>
    <w:p>
      <w:pPr>
        <w:pStyle w:val="Heading2"/>
        <w:numPr>
          <w:ilvl w:val="1"/>
          <w:numId w:val="3"/>
        </w:numPr>
        <w:ind w:left="1134" w:hanging="1134"/>
        <w:rPr>
          <w:sz w:val="26"/>
        </w:rPr>
      </w:pPr>
      <w:bookmarkStart w:id="121" w:name="_Toc187829899"/>
      <w:r>
        <w:rPr>
          <w:sz w:val="26"/>
        </w:rPr>
        <w:t>Информация о Предмете продажи</w:t>
      </w:r>
      <w:bookmarkEnd w:id="121"/>
      <w:r>
        <w:rPr>
          <w:sz w:val="26"/>
        </w:rPr>
        <w:t xml:space="preserve"> </w:t>
      </w:r>
    </w:p>
    <w:p>
      <w:pPr>
        <w:pStyle w:val="Style25"/>
        <w:numPr>
          <w:ilvl w:val="2"/>
          <w:numId w:val="3"/>
        </w:numPr>
        <w:tabs>
          <w:tab w:val="clear" w:pos="567"/>
          <w:tab w:val="left" w:pos="3828" w:leader="none"/>
        </w:tabs>
        <w:ind w:left="1134" w:hanging="1134"/>
        <w:rPr/>
      </w:pPr>
      <w:bookmarkStart w:id="122" w:name="_Ref536798159"/>
      <w:r>
        <w:rPr/>
        <w:t>Предметом продажи является имущество в составе нижеследующих лотов со следующей начальной ценой продажи на Аукционе:</w:t>
      </w:r>
      <w:bookmarkEnd w:id="122"/>
    </w:p>
    <w:tbl>
      <w:tblPr>
        <w:tblStyle w:val="affff"/>
        <w:tblW w:w="10206" w:type="dxa"/>
        <w:jc w:val="left"/>
        <w:tblInd w:w="391" w:type="dxa"/>
        <w:tblLayout w:type="fixed"/>
        <w:tblCellMar>
          <w:top w:w="0" w:type="dxa"/>
          <w:left w:w="108" w:type="dxa"/>
          <w:bottom w:w="0" w:type="dxa"/>
          <w:right w:w="108" w:type="dxa"/>
        </w:tblCellMar>
        <w:tblLook w:val="04a0" w:noHBand="0" w:noVBand="1" w:firstColumn="1" w:lastRow="0" w:lastColumn="0" w:firstRow="1"/>
      </w:tblPr>
      <w:tblGrid>
        <w:gridCol w:w="714"/>
        <w:gridCol w:w="2728"/>
        <w:gridCol w:w="4070"/>
        <w:gridCol w:w="2693"/>
      </w:tblGrid>
      <w:tr>
        <w:trPr/>
        <w:tc>
          <w:tcPr>
            <w:tcW w:w="714" w:type="dxa"/>
            <w:tcBorders/>
          </w:tcPr>
          <w:p>
            <w:pPr>
              <w:pStyle w:val="Normal"/>
              <w:widowControl w:val="false"/>
              <w:suppressAutoHyphens w:val="true"/>
              <w:spacing w:before="120" w:after="0"/>
              <w:jc w:val="center"/>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 xml:space="preserve">№ </w:t>
            </w:r>
            <w:r>
              <w:rPr>
                <w:rFonts w:eastAsia="Times New Roman" w:cs="Times New Roman"/>
                <w:kern w:val="0"/>
                <w:sz w:val="26"/>
                <w:szCs w:val="26"/>
                <w:lang w:val="ru-RU" w:eastAsia="ru-RU" w:bidi="ar-SA"/>
              </w:rPr>
              <w:t>п/п</w:t>
            </w:r>
          </w:p>
        </w:tc>
        <w:tc>
          <w:tcPr>
            <w:tcW w:w="2728" w:type="dxa"/>
            <w:tcBorders/>
          </w:tcPr>
          <w:p>
            <w:pPr>
              <w:pStyle w:val="Normal"/>
              <w:widowControl w:val="false"/>
              <w:suppressAutoHyphens w:val="true"/>
              <w:spacing w:before="120" w:after="0"/>
              <w:jc w:val="center"/>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Наименование объекта</w:t>
            </w:r>
          </w:p>
          <w:p>
            <w:pPr>
              <w:pStyle w:val="Normal"/>
              <w:widowControl w:val="false"/>
              <w:suppressAutoHyphens w:val="true"/>
              <w:jc w:val="center"/>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r>
          </w:p>
        </w:tc>
        <w:tc>
          <w:tcPr>
            <w:tcW w:w="4070" w:type="dxa"/>
            <w:tcBorders/>
          </w:tcPr>
          <w:p>
            <w:pPr>
              <w:pStyle w:val="Normal"/>
              <w:widowControl w:val="false"/>
              <w:suppressAutoHyphens w:val="true"/>
              <w:spacing w:before="120" w:after="0"/>
              <w:jc w:val="center"/>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Адрес местонахождения</w:t>
            </w:r>
          </w:p>
        </w:tc>
        <w:tc>
          <w:tcPr>
            <w:tcW w:w="2693" w:type="dxa"/>
            <w:tcBorders/>
          </w:tcPr>
          <w:p>
            <w:pPr>
              <w:pStyle w:val="Normal"/>
              <w:widowControl w:val="false"/>
              <w:suppressAutoHyphens w:val="true"/>
              <w:spacing w:before="120" w:after="0"/>
              <w:jc w:val="center"/>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Начальная цена продажи (с учетом НДС), руб.</w:t>
            </w:r>
          </w:p>
        </w:tc>
      </w:tr>
      <w:tr>
        <w:trPr/>
        <w:tc>
          <w:tcPr>
            <w:tcW w:w="714" w:type="dxa"/>
            <w:tcBorders/>
          </w:tcPr>
          <w:p>
            <w:pPr>
              <w:pStyle w:val="Normal"/>
              <w:widowControl w:val="false"/>
              <w:suppressAutoHyphens w:val="true"/>
              <w:spacing w:before="120" w:after="0"/>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1</w:t>
            </w:r>
          </w:p>
        </w:tc>
        <w:tc>
          <w:tcPr>
            <w:tcW w:w="2728" w:type="dxa"/>
            <w:tcBorders/>
          </w:tcPr>
          <w:p>
            <w:pPr>
              <w:pStyle w:val="Normal"/>
              <w:widowControl w:val="false"/>
              <w:suppressAutoHyphens w:val="true"/>
              <w:spacing w:before="120" w:after="0"/>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Комплекс объектов производственной площадки (Приложение № 1)</w:t>
            </w:r>
          </w:p>
        </w:tc>
        <w:tc>
          <w:tcPr>
            <w:tcW w:w="4070" w:type="dxa"/>
            <w:tcBorders/>
          </w:tcPr>
          <w:p>
            <w:pPr>
              <w:pStyle w:val="Normal"/>
              <w:widowControl w:val="false"/>
              <w:suppressAutoHyphens w:val="true"/>
              <w:spacing w:before="120" w:after="0"/>
              <w:rPr>
                <w:rFonts w:ascii="Times New Roman" w:hAnsi="Times New Roman" w:eastAsia="Times New Roman" w:cs="Times New Roman"/>
                <w:kern w:val="0"/>
                <w:sz w:val="26"/>
                <w:szCs w:val="26"/>
                <w:lang w:val="ru-RU" w:eastAsia="ru-RU" w:bidi="ar-SA"/>
              </w:rPr>
            </w:pPr>
            <w:r>
              <w:rPr>
                <w:rFonts w:eastAsia="Times New Roman" w:cs="Times New Roman"/>
                <w:kern w:val="0"/>
                <w:sz w:val="26"/>
                <w:szCs w:val="26"/>
                <w:lang w:val="ru-RU" w:eastAsia="ru-RU" w:bidi="ar-SA"/>
              </w:rPr>
              <w:t>Московская обл., Сергиево-Посадский городской округ, пос. Богородское</w:t>
            </w:r>
          </w:p>
        </w:tc>
        <w:tc>
          <w:tcPr>
            <w:tcW w:w="2693" w:type="dxa"/>
            <w:tcBorders/>
          </w:tcPr>
          <w:p>
            <w:pPr>
              <w:pStyle w:val="Normal"/>
              <w:widowControl w:val="false"/>
              <w:suppressAutoHyphens w:val="true"/>
              <w:spacing w:before="120" w:after="0"/>
              <w:jc w:val="center"/>
              <w:rPr>
                <w:color w:val="FF0000"/>
              </w:rPr>
            </w:pPr>
            <w:r>
              <w:rPr>
                <w:rFonts w:eastAsia="Geneva;Arial" w:cs="Times New Roman"/>
                <w:color w:val="000000"/>
                <w:kern w:val="0"/>
                <w:sz w:val="26"/>
                <w:szCs w:val="26"/>
                <w:lang w:val="ru-RU" w:eastAsia="ru-RU" w:bidi="ar-SA"/>
              </w:rPr>
              <w:t>189 000 000,00</w:t>
            </w:r>
          </w:p>
        </w:tc>
      </w:tr>
    </w:tbl>
    <w:p>
      <w:pPr>
        <w:pStyle w:val="Style25"/>
        <w:numPr>
          <w:ilvl w:val="2"/>
          <w:numId w:val="55"/>
        </w:numPr>
        <w:tabs>
          <w:tab w:val="clear" w:pos="567"/>
          <w:tab w:val="left" w:pos="3828" w:leader="none"/>
        </w:tabs>
        <w:ind w:left="1134" w:hanging="1134"/>
        <w:rPr/>
      </w:pPr>
      <w:r>
        <w:rPr/>
        <w:t xml:space="preserve">Предмет продажи принадлежит Продавцу на праве собственности, о чем </w:t>
        <w:br/>
        <w:t xml:space="preserve">в Единый государственный реестр недвижимости внесена запись регистрации </w:t>
        <w:br/>
        <w:t xml:space="preserve">о праве собственности Продавца №№ 50-50-05/003/2013-063 от 04.02.2013, </w:t>
        <w:br/>
        <w:t xml:space="preserve">50-50-05/003/2013-064 от 04.02.2013, 50-50-05/003/2013-065 от 04.02.2013, </w:t>
        <w:br/>
        <w:t xml:space="preserve">50-50-05/023/2007-367 от 18.08.2007, 50-50-05/051/2007-323 от 21.08.2007, </w:t>
        <w:br/>
        <w:t xml:space="preserve">50-50-05/051/2007-325 от 21.08.2007, 50-50-05/051/2007-329 от 21.08.2007, </w:t>
        <w:br/>
        <w:t xml:space="preserve">50-50-05/051/2007-327 от 21.08.2007, 50:05:0100137:167-50/005/2019-1 </w:t>
        <w:br/>
        <w:t>от 04.10.2019, 50:05:0100134:686-50/005/2019-1 от 04.10.2019.</w:t>
      </w:r>
    </w:p>
    <w:p>
      <w:pPr>
        <w:pStyle w:val="Style25"/>
        <w:numPr>
          <w:ilvl w:val="2"/>
          <w:numId w:val="56"/>
        </w:numPr>
        <w:tabs>
          <w:tab w:val="clear" w:pos="567"/>
          <w:tab w:val="left" w:pos="3828" w:leader="none"/>
        </w:tabs>
        <w:ind w:left="1134" w:hanging="1134"/>
        <w:rPr/>
      </w:pPr>
      <w:r>
        <w:rPr/>
        <w:t>Объекты расположены на земельных участках:</w:t>
      </w:r>
    </w:p>
    <w:tbl>
      <w:tblPr>
        <w:tblW w:w="10343" w:type="dxa"/>
        <w:jc w:val="left"/>
        <w:tblInd w:w="113" w:type="dxa"/>
        <w:tblLayout w:type="fixed"/>
        <w:tblCellMar>
          <w:top w:w="55" w:type="dxa"/>
          <w:left w:w="108" w:type="dxa"/>
          <w:bottom w:w="55" w:type="dxa"/>
          <w:right w:w="108" w:type="dxa"/>
        </w:tblCellMar>
        <w:tblLook w:val="04a0" w:noHBand="0" w:noVBand="1" w:firstColumn="1" w:lastRow="0" w:lastColumn="0" w:firstRow="1"/>
      </w:tblPr>
      <w:tblGrid>
        <w:gridCol w:w="1701"/>
        <w:gridCol w:w="1096"/>
        <w:gridCol w:w="1421"/>
        <w:gridCol w:w="1282"/>
        <w:gridCol w:w="1553"/>
        <w:gridCol w:w="1588"/>
        <w:gridCol w:w="1701"/>
      </w:tblGrid>
      <w:tr>
        <w:trPr>
          <w:tblHeader w:val="true"/>
          <w:trHeight w:val="1174" w:hRule="atLeast"/>
        </w:trPr>
        <w:tc>
          <w:tcPr>
            <w:tcW w:w="1701"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Адрес ЗУ</w:t>
            </w:r>
          </w:p>
        </w:tc>
        <w:tc>
          <w:tcPr>
            <w:tcW w:w="1096"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Площадь, кв.м.</w:t>
            </w:r>
          </w:p>
        </w:tc>
        <w:tc>
          <w:tcPr>
            <w:tcW w:w="1421"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Категория земель</w:t>
            </w:r>
          </w:p>
        </w:tc>
        <w:tc>
          <w:tcPr>
            <w:tcW w:w="1282"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Разрешенное использование</w:t>
            </w:r>
          </w:p>
        </w:tc>
        <w:tc>
          <w:tcPr>
            <w:tcW w:w="1553"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Кадастровый номер</w:t>
            </w:r>
          </w:p>
        </w:tc>
        <w:tc>
          <w:tcPr>
            <w:tcW w:w="1588"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Номер и дата государственной регистрации права</w:t>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Срок действия договора аренды</w:t>
            </w:r>
          </w:p>
        </w:tc>
      </w:tr>
      <w:tr>
        <w:trPr>
          <w:trHeight w:val="64" w:hRule="atLeast"/>
        </w:trPr>
        <w:tc>
          <w:tcPr>
            <w:tcW w:w="1701" w:type="dxa"/>
            <w:vMerge w:val="restart"/>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t>Московская обл., Сергиево-Посадский муниципальный р-он, г/пос Богородское, п. Богородское</w:t>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15</w:t>
            </w:r>
            <w:r>
              <w:rPr>
                <w:sz w:val="20"/>
                <w:szCs w:val="20"/>
                <w:lang w:val="en-US"/>
              </w:rPr>
              <w:t xml:space="preserve"> </w:t>
            </w:r>
            <w:r>
              <w:rPr>
                <w:sz w:val="20"/>
                <w:szCs w:val="20"/>
              </w:rPr>
              <w:t>621</w:t>
            </w:r>
          </w:p>
        </w:tc>
        <w:tc>
          <w:tcPr>
            <w:tcW w:w="1421" w:type="dxa"/>
            <w:vMerge w:val="restart"/>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Земли населенных пунктов</w:t>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цементный склад</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50:05:0100135:24</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Неопределенный срок</w:t>
            </w:r>
          </w:p>
        </w:tc>
      </w:tr>
      <w:tr>
        <w:trPr>
          <w:trHeight w:val="64" w:hRule="atLeast"/>
        </w:trPr>
        <w:tc>
          <w:tcPr>
            <w:tcW w:w="170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w:t>
            </w:r>
            <w:r>
              <w:rPr>
                <w:sz w:val="20"/>
                <w:szCs w:val="20"/>
                <w:lang w:val="en-US"/>
              </w:rPr>
              <w:t xml:space="preserve"> </w:t>
            </w:r>
            <w:r>
              <w:rPr>
                <w:sz w:val="20"/>
                <w:szCs w:val="20"/>
              </w:rPr>
              <w:t>086</w:t>
            </w:r>
          </w:p>
        </w:tc>
        <w:tc>
          <w:tcPr>
            <w:tcW w:w="142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размещение котельной</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50:05:0100135:55</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50-50-05/166/2010-038 от 08.12.2010</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highlight w:val="yellow"/>
              </w:rPr>
            </w:pPr>
            <w:r>
              <w:rPr>
                <w:sz w:val="20"/>
                <w:szCs w:val="20"/>
              </w:rPr>
              <w:t>с 09.11.2010 по 09.12.2026</w:t>
            </w:r>
          </w:p>
        </w:tc>
      </w:tr>
      <w:tr>
        <w:trPr>
          <w:trHeight w:val="350" w:hRule="atLeast"/>
        </w:trPr>
        <w:tc>
          <w:tcPr>
            <w:tcW w:w="170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3</w:t>
            </w:r>
            <w:r>
              <w:rPr>
                <w:sz w:val="20"/>
                <w:szCs w:val="20"/>
                <w:lang w:val="en-US"/>
              </w:rPr>
              <w:t xml:space="preserve"> </w:t>
            </w:r>
            <w:r>
              <w:rPr>
                <w:sz w:val="20"/>
                <w:szCs w:val="20"/>
              </w:rPr>
              <w:t>840</w:t>
            </w:r>
          </w:p>
        </w:tc>
        <w:tc>
          <w:tcPr>
            <w:tcW w:w="142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размещение секции №3 автоматизированной бетонно-смесительной установки</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50:05:0100135:54</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50-50-05/047/2011-317 от 18.05.2011</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highlight w:val="yellow"/>
                <w:lang w:val="en-US"/>
              </w:rPr>
            </w:pPr>
            <w:r>
              <w:rPr>
                <w:sz w:val="20"/>
                <w:szCs w:val="20"/>
                <w:lang w:val="en-US"/>
              </w:rPr>
              <w:t>с 23.03.2024 по 22.02.2027</w:t>
            </w:r>
          </w:p>
        </w:tc>
      </w:tr>
      <w:tr>
        <w:trPr>
          <w:trHeight w:val="64" w:hRule="atLeast"/>
        </w:trPr>
        <w:tc>
          <w:tcPr>
            <w:tcW w:w="170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17</w:t>
            </w:r>
            <w:r>
              <w:rPr>
                <w:sz w:val="20"/>
                <w:szCs w:val="20"/>
                <w:lang w:val="en-US"/>
              </w:rPr>
              <w:t xml:space="preserve"> </w:t>
            </w:r>
            <w:r>
              <w:rPr>
                <w:sz w:val="20"/>
                <w:szCs w:val="20"/>
              </w:rPr>
              <w:t>103</w:t>
            </w:r>
          </w:p>
        </w:tc>
        <w:tc>
          <w:tcPr>
            <w:tcW w:w="142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полигон железно-бетонных изделий</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50:05:0100135:3</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50-50-05/074/2012-290 от 17.07.2012</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Неопределенный срок</w:t>
            </w:r>
          </w:p>
        </w:tc>
      </w:tr>
      <w:tr>
        <w:trPr>
          <w:trHeight w:val="64" w:hRule="atLeast"/>
        </w:trPr>
        <w:tc>
          <w:tcPr>
            <w:tcW w:w="170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7</w:t>
            </w:r>
            <w:r>
              <w:rPr>
                <w:sz w:val="20"/>
                <w:szCs w:val="20"/>
                <w:lang w:val="en-US"/>
              </w:rPr>
              <w:t xml:space="preserve"> </w:t>
            </w:r>
            <w:r>
              <w:rPr>
                <w:sz w:val="20"/>
                <w:szCs w:val="20"/>
              </w:rPr>
              <w:t>383</w:t>
            </w:r>
          </w:p>
        </w:tc>
        <w:tc>
          <w:tcPr>
            <w:tcW w:w="142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стройлабораторию</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50:05:0100135:19</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50/005-50/005/001/2015-4144/1 от 14.07.2015</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с 14.07.2015 по 13.07.2064</w:t>
            </w:r>
          </w:p>
        </w:tc>
      </w:tr>
      <w:tr>
        <w:trPr>
          <w:trHeight w:val="64" w:hRule="atLeast"/>
        </w:trPr>
        <w:tc>
          <w:tcPr>
            <w:tcW w:w="170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left"/>
              <w:rPr>
                <w:sz w:val="20"/>
                <w:szCs w:val="20"/>
              </w:rPr>
            </w:pPr>
            <w:r>
              <w:rPr>
                <w:sz w:val="20"/>
                <w:szCs w:val="20"/>
              </w:rPr>
            </w:r>
          </w:p>
        </w:tc>
        <w:tc>
          <w:tcPr>
            <w:tcW w:w="1096"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24</w:t>
            </w:r>
            <w:r>
              <w:rPr>
                <w:sz w:val="20"/>
                <w:szCs w:val="20"/>
                <w:lang w:val="en-US"/>
              </w:rPr>
              <w:t xml:space="preserve"> </w:t>
            </w:r>
            <w:r>
              <w:rPr>
                <w:sz w:val="20"/>
                <w:szCs w:val="20"/>
              </w:rPr>
              <w:t>768</w:t>
            </w:r>
          </w:p>
        </w:tc>
        <w:tc>
          <w:tcPr>
            <w:tcW w:w="1421" w:type="dxa"/>
            <w:vMerge w:val="continue"/>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r>
          </w:p>
        </w:tc>
        <w:tc>
          <w:tcPr>
            <w:tcW w:w="1282"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Под бетонный завод</w:t>
            </w:r>
          </w:p>
        </w:tc>
        <w:tc>
          <w:tcPr>
            <w:tcW w:w="1553"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50:05:0100135:5</w:t>
            </w:r>
          </w:p>
        </w:tc>
        <w:tc>
          <w:tcPr>
            <w:tcW w:w="1588" w:type="dxa"/>
            <w:tcBorders>
              <w:left w:val="single" w:sz="4" w:space="0" w:color="000000"/>
              <w:bottom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50/005-50/005/001/2015-4143/1 от 14.07.2015</w:t>
            </w:r>
          </w:p>
        </w:tc>
        <w:tc>
          <w:tcPr>
            <w:tcW w:w="170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sz w:val="20"/>
                <w:szCs w:val="20"/>
              </w:rPr>
            </w:pPr>
            <w:r>
              <w:rPr>
                <w:sz w:val="20"/>
                <w:szCs w:val="20"/>
              </w:rPr>
              <w:t>с 14.07.2015 по 13.07.2064</w:t>
            </w:r>
          </w:p>
        </w:tc>
      </w:tr>
    </w:tbl>
    <w:p>
      <w:pPr>
        <w:pStyle w:val="Style25"/>
        <w:numPr>
          <w:ilvl w:val="2"/>
          <w:numId w:val="3"/>
        </w:numPr>
        <w:tabs>
          <w:tab w:val="clear" w:pos="567"/>
          <w:tab w:val="left" w:pos="3828" w:leader="none"/>
        </w:tabs>
        <w:ind w:left="1134" w:hanging="1134"/>
        <w:rPr/>
      </w:pPr>
      <w:r>
        <w:rPr/>
        <w:t>Информация о технических и иных характеристиках Предмета продажи, копии документов, подтверждающих право собственности Продавца на недвижимое имущество, входящее в Предмет продажи, приведены в Приложении № 1 к Документации.</w:t>
      </w:r>
    </w:p>
    <w:p>
      <w:pPr>
        <w:pStyle w:val="Heading2"/>
        <w:numPr>
          <w:ilvl w:val="1"/>
          <w:numId w:val="3"/>
        </w:numPr>
        <w:ind w:left="1134" w:hanging="1134"/>
        <w:rPr>
          <w:sz w:val="26"/>
        </w:rPr>
      </w:pPr>
      <w:bookmarkStart w:id="123" w:name="_Toc187829900"/>
      <w:r>
        <w:rPr>
          <w:sz w:val="26"/>
        </w:rPr>
        <w:t>Порядок ознакомления с Предметом продажи</w:t>
      </w:r>
      <w:bookmarkEnd w:id="123"/>
      <w:r>
        <w:rPr>
          <w:sz w:val="26"/>
        </w:rPr>
        <w:t xml:space="preserve"> </w:t>
      </w:r>
    </w:p>
    <w:p>
      <w:pPr>
        <w:pStyle w:val="Style25"/>
        <w:numPr>
          <w:ilvl w:val="2"/>
          <w:numId w:val="3"/>
        </w:numPr>
        <w:tabs>
          <w:tab w:val="clear" w:pos="567"/>
          <w:tab w:val="left" w:pos="3828" w:leader="none"/>
        </w:tabs>
        <w:ind w:left="1134" w:hanging="1134"/>
        <w:rPr/>
      </w:pPr>
      <w:r>
        <w:rPr/>
        <w:t xml:space="preserve">Возможность ознакомления с Предметом продажи и с документацией на него (при наличии) предоставляется Продавцом / Организатором любому лицу, заинтересованному в приобретении Предмета продажи. </w:t>
      </w:r>
    </w:p>
    <w:p>
      <w:pPr>
        <w:pStyle w:val="Style25"/>
        <w:numPr>
          <w:ilvl w:val="2"/>
          <w:numId w:val="3"/>
        </w:numPr>
        <w:tabs>
          <w:tab w:val="clear" w:pos="567"/>
          <w:tab w:val="left" w:pos="3828" w:leader="none"/>
        </w:tabs>
        <w:ind w:left="1134" w:hanging="1134"/>
        <w:rPr/>
      </w:pPr>
      <w:r>
        <w:rPr/>
        <w:t xml:space="preserve">Ознакомление с Предметом продажи осуществляется по адресу местонахождения Предмета продажи, указанному в пункте </w:t>
      </w:r>
      <w:r>
        <w:rPr/>
        <w:fldChar w:fldCharType="begin"/>
      </w:r>
      <w:r>
        <w:rPr/>
        <w:instrText xml:space="preserve"> REF _Ref536798159 \r \h </w:instrText>
      </w:r>
      <w:r>
        <w:rPr/>
        <w:fldChar w:fldCharType="separate"/>
      </w:r>
      <w:r>
        <w:rPr/>
        <w:t>3.1.1</w:t>
      </w:r>
      <w:r>
        <w:rPr/>
        <w:fldChar w:fldCharType="end"/>
      </w:r>
      <w:r>
        <w:rPr/>
        <w:t>, ежедневно с 13.00 до 17.00 часов (время местное), кроме выходных и праздничных дней.</w:t>
      </w:r>
    </w:p>
    <w:p>
      <w:pPr>
        <w:pStyle w:val="Style25"/>
        <w:numPr>
          <w:ilvl w:val="2"/>
          <w:numId w:val="3"/>
        </w:numPr>
        <w:tabs>
          <w:tab w:val="clear" w:pos="567"/>
          <w:tab w:val="left" w:pos="3828" w:leader="none"/>
        </w:tabs>
        <w:ind w:left="1134" w:hanging="1134"/>
        <w:rPr/>
      </w:pPr>
      <w:r>
        <w:rPr/>
        <w:t>В целях организации ознакомления с Предметом продажи, заинтересованное лицо направляет за 2 (два) рабочих дня до планируемой даты ознакомления письменный запрос,</w:t>
      </w:r>
      <w:r>
        <w:rPr>
          <w:szCs w:val="24"/>
        </w:rPr>
        <w:t xml:space="preserve"> но не позднее 5 (пяти) рабочих дней до даты окончания подачи Заявок, указанной в пункте </w:t>
      </w:r>
      <w:r>
        <w:rPr>
          <w:szCs w:val="24"/>
        </w:rPr>
        <w:fldChar w:fldCharType="begin"/>
      </w:r>
      <w:r>
        <w:rPr>
          <w:szCs w:val="24"/>
        </w:rPr>
        <w:instrText xml:space="preserve"> REF _Ref389823218 \r \h </w:instrText>
      </w:r>
      <w:r>
        <w:rPr>
          <w:szCs w:val="24"/>
        </w:rPr>
        <w:fldChar w:fldCharType="separate"/>
      </w:r>
      <w:r>
        <w:rPr>
          <w:szCs w:val="24"/>
        </w:rPr>
        <w:t>1.2.15</w:t>
      </w:r>
      <w:r>
        <w:rPr>
          <w:szCs w:val="24"/>
        </w:rPr>
        <w:fldChar w:fldCharType="end"/>
      </w:r>
      <w:r>
        <w:rPr/>
        <w:t xml:space="preserve">. Запрос направляется на адрес электронной почты контактного лица Организатора, указанный в пункте </w:t>
      </w:r>
      <w:r>
        <w:rPr/>
        <w:fldChar w:fldCharType="begin"/>
      </w:r>
      <w:r>
        <w:rPr/>
        <w:instrText xml:space="preserve"> REF _Ref384115792 \r \h </w:instrText>
      </w:r>
      <w:r>
        <w:rPr/>
        <w:fldChar w:fldCharType="separate"/>
      </w:r>
      <w:r>
        <w:rPr/>
        <w:t>1.2.7</w:t>
      </w:r>
      <w:r>
        <w:rPr/>
        <w:fldChar w:fldCharType="end"/>
      </w:r>
      <w:r>
        <w:rPr/>
        <w:t>.</w:t>
      </w:r>
    </w:p>
    <w:p>
      <w:pPr>
        <w:pStyle w:val="Style25"/>
        <w:numPr>
          <w:ilvl w:val="2"/>
          <w:numId w:val="3"/>
        </w:numPr>
        <w:tabs>
          <w:tab w:val="clear" w:pos="567"/>
          <w:tab w:val="left" w:pos="3828" w:leader="none"/>
        </w:tabs>
        <w:ind w:left="1134" w:hanging="1134"/>
        <w:rPr/>
      </w:pPr>
      <w:r>
        <w:rPr/>
        <w:t xml:space="preserve">В запросе, составляемом в произвольной форме, помимо непосредственно запроса на ознакомление с Предметом продажи, в обязательном порядке должно быть указано: </w:t>
      </w:r>
    </w:p>
    <w:p>
      <w:pPr>
        <w:pStyle w:val="ListParagraph"/>
        <w:numPr>
          <w:ilvl w:val="0"/>
          <w:numId w:val="10"/>
        </w:numPr>
        <w:spacing w:lineRule="auto" w:line="276"/>
        <w:ind w:left="1985" w:hanging="360"/>
        <w:jc w:val="both"/>
        <w:rPr>
          <w:rFonts w:ascii="Times New Roman" w:hAnsi="Times New Roman"/>
          <w:sz w:val="26"/>
        </w:rPr>
      </w:pPr>
      <w:r>
        <w:rPr>
          <w:rFonts w:ascii="Times New Roman" w:hAnsi="Times New Roman"/>
          <w:sz w:val="26"/>
        </w:rPr>
        <w:t xml:space="preserve">для юридических лиц - наименование организации, ОГРН и(или) ИНН, место нахождения, фамилия, имя, отчество представителя юридического лица, контактный телефон, адрес электронной почты; </w:t>
      </w:r>
    </w:p>
    <w:p>
      <w:pPr>
        <w:pStyle w:val="ListParagraph"/>
        <w:numPr>
          <w:ilvl w:val="0"/>
          <w:numId w:val="10"/>
        </w:numPr>
        <w:spacing w:lineRule="auto" w:line="276"/>
        <w:ind w:left="1985" w:hanging="360"/>
        <w:jc w:val="both"/>
        <w:rPr>
          <w:rFonts w:ascii="Times New Roman" w:hAnsi="Times New Roman"/>
          <w:sz w:val="28"/>
          <w:szCs w:val="28"/>
        </w:rPr>
      </w:pPr>
      <w:r>
        <w:rPr>
          <w:rFonts w:ascii="Times New Roman" w:hAnsi="Times New Roman"/>
          <w:sz w:val="26"/>
        </w:rPr>
        <w:t>для индивидуальных предпринимателей и физических лиц - фамилия, имя, отчество, паспортные данные, контактный телефон, адрес электронной почты.</w:t>
      </w:r>
    </w:p>
    <w:p>
      <w:pPr>
        <w:pStyle w:val="Heading1"/>
        <w:numPr>
          <w:ilvl w:val="0"/>
          <w:numId w:val="3"/>
        </w:numPr>
        <w:rPr>
          <w:rFonts w:ascii="Times New Roman" w:hAnsi="Times New Roman"/>
          <w:sz w:val="28"/>
          <w:szCs w:val="28"/>
        </w:rPr>
      </w:pPr>
      <w:bookmarkStart w:id="124" w:name="_Toc187829901"/>
      <w:r>
        <w:rPr>
          <w:rFonts w:ascii="Times New Roman" w:hAnsi="Times New Roman"/>
          <w:caps/>
          <w:kern w:val="0"/>
          <w:sz w:val="28"/>
          <w:szCs w:val="28"/>
        </w:rPr>
        <w:t>ТРЕБОВАНИЯ</w:t>
      </w:r>
      <w:r>
        <w:rPr>
          <w:rFonts w:ascii="Times New Roman" w:hAnsi="Times New Roman"/>
          <w:sz w:val="28"/>
          <w:szCs w:val="28"/>
        </w:rPr>
        <w:t xml:space="preserve"> К УЧАСТНИКАМ </w:t>
      </w:r>
      <w:bookmarkEnd w:id="114"/>
      <w:bookmarkEnd w:id="115"/>
      <w:r>
        <w:rPr>
          <w:rFonts w:ascii="Times New Roman" w:hAnsi="Times New Roman"/>
          <w:sz w:val="28"/>
          <w:szCs w:val="28"/>
        </w:rPr>
        <w:t>АУКЦИОНА</w:t>
      </w:r>
      <w:bookmarkEnd w:id="124"/>
    </w:p>
    <w:p>
      <w:pPr>
        <w:pStyle w:val="Heading2"/>
        <w:numPr>
          <w:ilvl w:val="1"/>
          <w:numId w:val="3"/>
        </w:numPr>
        <w:ind w:left="1134" w:hanging="1134"/>
        <w:rPr>
          <w:sz w:val="26"/>
        </w:rPr>
      </w:pPr>
      <w:bookmarkStart w:id="125" w:name="_Toc187829902"/>
      <w:bookmarkStart w:id="126" w:name="_Ref384627521"/>
      <w:bookmarkStart w:id="127" w:name="_Ref324341528"/>
      <w:bookmarkStart w:id="128" w:name="_Ref93090116"/>
      <w:bookmarkStart w:id="129" w:name="_Toc90385071"/>
      <w:bookmarkStart w:id="130" w:name="_Hlk523931983"/>
      <w:bookmarkEnd w:id="130"/>
      <w:r>
        <w:rPr>
          <w:sz w:val="26"/>
        </w:rPr>
        <w:t xml:space="preserve">Требования к Участникам </w:t>
      </w:r>
      <w:bookmarkEnd w:id="126"/>
      <w:bookmarkEnd w:id="127"/>
      <w:bookmarkEnd w:id="128"/>
      <w:bookmarkEnd w:id="129"/>
      <w:r>
        <w:rPr>
          <w:sz w:val="26"/>
        </w:rPr>
        <w:t>Аукциона</w:t>
      </w:r>
      <w:bookmarkEnd w:id="125"/>
    </w:p>
    <w:p>
      <w:pPr>
        <w:pStyle w:val="Style25"/>
        <w:numPr>
          <w:ilvl w:val="2"/>
          <w:numId w:val="3"/>
        </w:numPr>
        <w:tabs>
          <w:tab w:val="clear" w:pos="567"/>
          <w:tab w:val="left" w:pos="3828" w:leader="none"/>
        </w:tabs>
        <w:ind w:left="1134" w:hanging="1134"/>
        <w:rPr/>
      </w:pPr>
      <w:bookmarkStart w:id="131" w:name="_Hlk523931983_Копия_1"/>
      <w:bookmarkStart w:id="132" w:name="_Ref324335676"/>
      <w:bookmarkEnd w:id="131"/>
      <w:bookmarkEnd w:id="132"/>
      <w:r>
        <w:rPr/>
        <w:t>Для участия в Аукционе, победы в Аукционе и получения права заключить Договор с Продавцом, Заявитель должен отвечать требованиям, установленным Документацией.</w:t>
      </w:r>
    </w:p>
    <w:p>
      <w:pPr>
        <w:pStyle w:val="Style25"/>
        <w:numPr>
          <w:ilvl w:val="2"/>
          <w:numId w:val="3"/>
        </w:numPr>
        <w:tabs>
          <w:tab w:val="clear" w:pos="567"/>
          <w:tab w:val="left" w:pos="3828" w:leader="none"/>
        </w:tabs>
        <w:ind w:left="1134" w:hanging="1134"/>
        <w:rPr/>
      </w:pPr>
      <w:r>
        <w:rPr/>
        <w:t xml:space="preserve">Полный перечень требований к Заявителям / Участникам указан в </w:t>
      </w:r>
      <w:bookmarkStart w:id="133" w:name="_Hlt311053359"/>
      <w:bookmarkEnd w:id="133"/>
      <w:r>
        <w:rPr/>
        <w:t xml:space="preserve">Приложении </w:t>
        <w:br/>
        <w:t>№ 3 к Документации.</w:t>
      </w:r>
    </w:p>
    <w:p>
      <w:pPr>
        <w:pStyle w:val="Style25"/>
        <w:numPr>
          <w:ilvl w:val="2"/>
          <w:numId w:val="3"/>
        </w:numPr>
        <w:tabs>
          <w:tab w:val="clear" w:pos="567"/>
          <w:tab w:val="left" w:pos="3828" w:leader="none"/>
        </w:tabs>
        <w:ind w:left="1134" w:hanging="1134"/>
        <w:rPr/>
      </w:pPr>
      <w:r>
        <w:rPr/>
        <w:t>Для подтверждения соответствия установленным Документацией требованиям Заявитель обязан приложить в составе Заявки документы, перечисленные в Приложении № 3 к Документации.</w:t>
      </w:r>
    </w:p>
    <w:p>
      <w:pPr>
        <w:pStyle w:val="Heading1"/>
        <w:numPr>
          <w:ilvl w:val="0"/>
          <w:numId w:val="3"/>
        </w:numPr>
        <w:rPr>
          <w:rFonts w:ascii="Times New Roman" w:hAnsi="Times New Roman"/>
          <w:sz w:val="28"/>
          <w:szCs w:val="28"/>
        </w:rPr>
      </w:pPr>
      <w:bookmarkStart w:id="134" w:name="_Toc187829903"/>
      <w:bookmarkStart w:id="135" w:name="_Toc57314640"/>
      <w:bookmarkStart w:id="136" w:name="_Toc69728963"/>
      <w:bookmarkStart w:id="137" w:name="_Ref514453352"/>
      <w:bookmarkStart w:id="138" w:name="_Toc55305378"/>
      <w:bookmarkStart w:id="139" w:name="_Ref55300680"/>
      <w:bookmarkStart w:id="140" w:name="_Toc418862919"/>
      <w:bookmarkStart w:id="141" w:name="_Toc418863076"/>
      <w:bookmarkStart w:id="142" w:name="_Toc514455549"/>
      <w:bookmarkStart w:id="143" w:name="_Ref324335676_Копия_1"/>
      <w:bookmarkEnd w:id="140"/>
      <w:bookmarkEnd w:id="141"/>
      <w:bookmarkEnd w:id="142"/>
      <w:bookmarkEnd w:id="143"/>
      <w:r>
        <w:rPr>
          <w:rFonts w:ascii="Times New Roman" w:hAnsi="Times New Roman"/>
          <w:sz w:val="28"/>
          <w:szCs w:val="28"/>
        </w:rPr>
        <w:t>ПОРЯДОК ПРОВЕДЕНИЯ АУКЦИОНА. ИНСТРУКЦИИ ПО ПОДГОТОВКЕ ЗАЯВОК</w:t>
      </w:r>
      <w:bookmarkEnd w:id="134"/>
      <w:bookmarkEnd w:id="135"/>
      <w:bookmarkEnd w:id="136"/>
      <w:bookmarkEnd w:id="137"/>
      <w:bookmarkEnd w:id="138"/>
      <w:bookmarkEnd w:id="139"/>
    </w:p>
    <w:p>
      <w:pPr>
        <w:pStyle w:val="Heading2"/>
        <w:numPr>
          <w:ilvl w:val="1"/>
          <w:numId w:val="3"/>
        </w:numPr>
        <w:ind w:left="1134" w:hanging="1134"/>
        <w:rPr>
          <w:sz w:val="26"/>
        </w:rPr>
      </w:pPr>
      <w:bookmarkStart w:id="144" w:name="_Toc187829904"/>
      <w:bookmarkStart w:id="145" w:name="_Toc55193148"/>
      <w:bookmarkStart w:id="146" w:name="_Toc69728964"/>
      <w:bookmarkStart w:id="147" w:name="_Toc57314641"/>
      <w:bookmarkStart w:id="148" w:name="_Toc55285342"/>
      <w:bookmarkStart w:id="149" w:name="_Toc518119235"/>
      <w:bookmarkStart w:id="150" w:name="_Ref440305687"/>
      <w:bookmarkStart w:id="151" w:name="_Toc55305379"/>
      <w:bookmarkStart w:id="152" w:name="ИНСТРУКЦИИ_Копия_1"/>
      <w:bookmarkEnd w:id="152"/>
      <w:r>
        <w:rPr>
          <w:sz w:val="26"/>
        </w:rPr>
        <w:t xml:space="preserve">Общий порядок проведения </w:t>
      </w:r>
      <w:bookmarkEnd w:id="145"/>
      <w:bookmarkEnd w:id="146"/>
      <w:bookmarkEnd w:id="147"/>
      <w:bookmarkEnd w:id="148"/>
      <w:bookmarkEnd w:id="149"/>
      <w:bookmarkEnd w:id="150"/>
      <w:bookmarkEnd w:id="151"/>
      <w:r>
        <w:rPr>
          <w:sz w:val="26"/>
        </w:rPr>
        <w:t>Аукциона</w:t>
      </w:r>
      <w:bookmarkEnd w:id="144"/>
    </w:p>
    <w:p>
      <w:pPr>
        <w:pStyle w:val="Style25"/>
        <w:numPr>
          <w:ilvl w:val="2"/>
          <w:numId w:val="3"/>
        </w:numPr>
        <w:tabs>
          <w:tab w:val="clear" w:pos="567"/>
          <w:tab w:val="left" w:pos="3828" w:leader="none"/>
        </w:tabs>
        <w:ind w:left="1134" w:hanging="1134"/>
        <w:rPr/>
      </w:pPr>
      <w:r>
        <w:rPr/>
        <w:t>Аукцион проводится в следующем порядке:</w:t>
      </w:r>
    </w:p>
    <w:p>
      <w:pPr>
        <w:pStyle w:val="Style27"/>
        <w:numPr>
          <w:ilvl w:val="4"/>
          <w:numId w:val="3"/>
        </w:numPr>
        <w:tabs>
          <w:tab w:val="clear" w:pos="567"/>
          <w:tab w:val="left" w:pos="1134" w:leader="none"/>
        </w:tabs>
        <w:ind w:left="1701" w:hanging="424"/>
        <w:rPr/>
      </w:pPr>
      <w:r>
        <w:rPr/>
        <w:t xml:space="preserve">Официальное размещение Извещения и Документации (подраздел </w:t>
      </w:r>
      <w:r>
        <w:rPr/>
        <w:fldChar w:fldCharType="begin"/>
      </w:r>
      <w:r>
        <w:rPr/>
        <w:instrText xml:space="preserve"> REF _Ref55280418 \r \h </w:instrText>
      </w:r>
      <w:r>
        <w:rPr/>
        <w:fldChar w:fldCharType="separate"/>
      </w:r>
      <w:r>
        <w:rPr/>
        <w:t>5.2</w:t>
      </w:r>
      <w:r>
        <w:rPr/>
        <w:fldChar w:fldCharType="end"/>
      </w:r>
      <w:r>
        <w:rPr/>
        <w:t>);</w:t>
      </w:r>
    </w:p>
    <w:p>
      <w:pPr>
        <w:pStyle w:val="Style27"/>
        <w:numPr>
          <w:ilvl w:val="4"/>
          <w:numId w:val="3"/>
        </w:numPr>
        <w:tabs>
          <w:tab w:val="clear" w:pos="567"/>
          <w:tab w:val="left" w:pos="1134" w:leader="none"/>
        </w:tabs>
        <w:ind w:left="1701" w:hanging="424"/>
        <w:rPr/>
      </w:pPr>
      <w:r>
        <w:rPr/>
        <w:t xml:space="preserve">Разъяснение Организатором продажи Документации и внесение в нее изменений, если необходимо (подразделы </w:t>
      </w:r>
      <w:r>
        <w:rPr/>
        <w:fldChar w:fldCharType="begin"/>
      </w:r>
      <w:r>
        <w:rPr/>
        <w:instrText xml:space="preserve"> REF _Ref55280436 \r \h </w:instrText>
      </w:r>
      <w:r>
        <w:rPr/>
        <w:fldChar w:fldCharType="separate"/>
      </w:r>
      <w:r>
        <w:rPr/>
        <w:t>5.5</w:t>
      </w:r>
      <w:r>
        <w:rPr/>
        <w:fldChar w:fldCharType="end"/>
      </w:r>
      <w:r>
        <w:rPr/>
        <w:t xml:space="preserve"> – </w:t>
      </w:r>
      <w:r>
        <w:rPr/>
        <w:fldChar w:fldCharType="begin"/>
      </w:r>
      <w:r>
        <w:rPr/>
        <w:instrText xml:space="preserve"> REF _Ref514601359 \r \h </w:instrText>
      </w:r>
      <w:r>
        <w:rPr/>
        <w:fldChar w:fldCharType="separate"/>
      </w:r>
      <w:r>
        <w:rPr/>
        <w:t>5.4</w:t>
      </w:r>
      <w:r>
        <w:rPr/>
        <w:fldChar w:fldCharType="end"/>
      </w:r>
      <w:r>
        <w:rPr/>
        <w:t>);</w:t>
      </w:r>
    </w:p>
    <w:p>
      <w:pPr>
        <w:pStyle w:val="Style27"/>
        <w:numPr>
          <w:ilvl w:val="4"/>
          <w:numId w:val="3"/>
        </w:numPr>
        <w:tabs>
          <w:tab w:val="clear" w:pos="567"/>
          <w:tab w:val="left" w:pos="1134" w:leader="none"/>
        </w:tabs>
        <w:ind w:left="1701" w:hanging="424"/>
        <w:rPr/>
      </w:pPr>
      <w:r>
        <w:rPr/>
        <w:t xml:space="preserve">Подготовка Заявителями Заявок и их подача (подразделы </w:t>
      </w:r>
      <w:r>
        <w:rPr/>
        <w:fldChar w:fldCharType="begin"/>
      </w:r>
      <w:r>
        <w:rPr/>
        <w:instrText xml:space="preserve"> REF _Ref514601380 \r \h </w:instrText>
      </w:r>
      <w:r>
        <w:rPr/>
        <w:fldChar w:fldCharType="separate"/>
      </w:r>
      <w:r>
        <w:rPr/>
        <w:t>5.5</w:t>
      </w:r>
      <w:r>
        <w:rPr/>
        <w:fldChar w:fldCharType="end"/>
      </w:r>
      <w:r>
        <w:rPr/>
        <w:t xml:space="preserve"> – </w:t>
      </w:r>
      <w:r>
        <w:rPr/>
        <w:fldChar w:fldCharType="begin"/>
      </w:r>
      <w:r>
        <w:rPr/>
        <w:instrText xml:space="preserve"> REF _Ref56251474 \r \h </w:instrText>
      </w:r>
      <w:r>
        <w:rPr/>
        <w:fldChar w:fldCharType="separate"/>
      </w:r>
      <w:r>
        <w:rPr/>
        <w:t>5.7</w:t>
      </w:r>
      <w:r>
        <w:rPr/>
        <w:fldChar w:fldCharType="end"/>
      </w:r>
      <w:r>
        <w:rPr/>
        <w:t>);</w:t>
      </w:r>
    </w:p>
    <w:p>
      <w:pPr>
        <w:pStyle w:val="Style27"/>
        <w:numPr>
          <w:ilvl w:val="4"/>
          <w:numId w:val="3"/>
        </w:numPr>
        <w:tabs>
          <w:tab w:val="clear" w:pos="567"/>
          <w:tab w:val="left" w:pos="1134" w:leader="none"/>
        </w:tabs>
        <w:ind w:left="1701" w:hanging="424"/>
        <w:rPr/>
      </w:pPr>
      <w:r>
        <w:rPr/>
        <w:t xml:space="preserve">Открытие доступа к Заявкам (подраздел </w:t>
      </w:r>
      <w:r>
        <w:rPr/>
        <w:fldChar w:fldCharType="begin"/>
      </w:r>
      <w:r>
        <w:rPr/>
        <w:instrText xml:space="preserve"> REF _Ref524002679 \r \h </w:instrText>
      </w:r>
      <w:r>
        <w:rPr/>
        <w:fldChar w:fldCharType="separate"/>
      </w:r>
      <w:r>
        <w:rPr/>
        <w:t>5.8</w:t>
      </w:r>
      <w:r>
        <w:rPr/>
        <w:fldChar w:fldCharType="end"/>
      </w:r>
      <w:r>
        <w:rPr/>
        <w:t>);</w:t>
      </w:r>
    </w:p>
    <w:p>
      <w:pPr>
        <w:pStyle w:val="Style27"/>
        <w:numPr>
          <w:ilvl w:val="4"/>
          <w:numId w:val="3"/>
        </w:numPr>
        <w:tabs>
          <w:tab w:val="clear" w:pos="567"/>
          <w:tab w:val="left" w:pos="1134" w:leader="none"/>
        </w:tabs>
        <w:ind w:left="1701" w:hanging="424"/>
        <w:rPr/>
      </w:pPr>
      <w:r>
        <w:rPr/>
        <w:t xml:space="preserve">Рассмотрение Заявок (подраздел </w:t>
      </w:r>
      <w:r>
        <w:rPr/>
        <w:fldChar w:fldCharType="begin"/>
      </w:r>
      <w:r>
        <w:rPr/>
        <w:instrText xml:space="preserve"> REF _Ref55280453 \r \h </w:instrText>
      </w:r>
      <w:r>
        <w:rPr/>
        <w:fldChar w:fldCharType="separate"/>
      </w:r>
      <w:r>
        <w:rPr/>
        <w:t>5.9</w:t>
      </w:r>
      <w:r>
        <w:rPr/>
        <w:fldChar w:fldCharType="end"/>
      </w:r>
      <w:r>
        <w:rPr/>
        <w:t>);</w:t>
      </w:r>
    </w:p>
    <w:p>
      <w:pPr>
        <w:pStyle w:val="Style27"/>
        <w:numPr>
          <w:ilvl w:val="4"/>
          <w:numId w:val="3"/>
        </w:numPr>
        <w:tabs>
          <w:tab w:val="clear" w:pos="567"/>
          <w:tab w:val="left" w:pos="1134" w:leader="none"/>
        </w:tabs>
        <w:ind w:left="1701" w:hanging="424"/>
        <w:rPr/>
      </w:pPr>
      <w:r>
        <w:rPr/>
        <w:t xml:space="preserve">Проведение процедуры Аукциона (подраздел </w:t>
      </w:r>
      <w:r>
        <w:rPr/>
        <w:fldChar w:fldCharType="begin"/>
      </w:r>
      <w:r>
        <w:rPr/>
        <w:instrText xml:space="preserve"> REF _Ref516966065 \r \h </w:instrText>
      </w:r>
      <w:r>
        <w:rPr/>
        <w:fldChar w:fldCharType="separate"/>
      </w:r>
      <w:r>
        <w:rPr/>
        <w:t>5.10</w:t>
      </w:r>
      <w:r>
        <w:rPr/>
        <w:fldChar w:fldCharType="end"/>
      </w:r>
      <w:r>
        <w:rPr/>
        <w:t>);</w:t>
      </w:r>
    </w:p>
    <w:p>
      <w:pPr>
        <w:pStyle w:val="Style27"/>
        <w:numPr>
          <w:ilvl w:val="4"/>
          <w:numId w:val="3"/>
        </w:numPr>
        <w:tabs>
          <w:tab w:val="clear" w:pos="567"/>
          <w:tab w:val="left" w:pos="1134" w:leader="none"/>
        </w:tabs>
        <w:ind w:left="1701" w:hanging="424"/>
        <w:rPr/>
      </w:pPr>
      <w:r>
        <w:rPr/>
        <w:t xml:space="preserve">Оформление результатов Аукциона (подраздел </w:t>
      </w:r>
      <w:r>
        <w:rPr/>
        <w:fldChar w:fldCharType="begin"/>
      </w:r>
      <w:r>
        <w:rPr/>
        <w:instrText xml:space="preserve"> REF _Ref536798166 \r \h </w:instrText>
      </w:r>
      <w:r>
        <w:rPr/>
        <w:fldChar w:fldCharType="separate"/>
      </w:r>
      <w:r>
        <w:rPr/>
        <w:t>5.11</w:t>
      </w:r>
      <w:r>
        <w:rPr/>
        <w:fldChar w:fldCharType="end"/>
      </w:r>
      <w:r>
        <w:rPr/>
        <w:t>)</w:t>
      </w:r>
    </w:p>
    <w:p>
      <w:pPr>
        <w:pStyle w:val="Style27"/>
        <w:numPr>
          <w:ilvl w:val="4"/>
          <w:numId w:val="3"/>
        </w:numPr>
        <w:tabs>
          <w:tab w:val="clear" w:pos="567"/>
          <w:tab w:val="left" w:pos="1134" w:leader="none"/>
        </w:tabs>
        <w:ind w:left="1701" w:hanging="424"/>
        <w:rPr/>
      </w:pPr>
      <w:r>
        <w:rPr/>
        <w:t xml:space="preserve">Заключение Договора (раздел </w:t>
      </w:r>
      <w:r>
        <w:rPr/>
        <w:fldChar w:fldCharType="begin"/>
      </w:r>
      <w:r>
        <w:rPr/>
        <w:instrText xml:space="preserve"> REF _Ref418863007 \r \h </w:instrText>
      </w:r>
      <w:r>
        <w:rPr/>
        <w:fldChar w:fldCharType="separate"/>
      </w:r>
      <w:r>
        <w:rPr/>
        <w:t>6</w:t>
      </w:r>
      <w:r>
        <w:rPr/>
        <w:fldChar w:fldCharType="end"/>
      </w:r>
      <w:r>
        <w:rPr/>
        <w:t>).</w:t>
      </w:r>
    </w:p>
    <w:p>
      <w:pPr>
        <w:pStyle w:val="Style25"/>
        <w:numPr>
          <w:ilvl w:val="2"/>
          <w:numId w:val="3"/>
        </w:numPr>
        <w:tabs>
          <w:tab w:val="clear" w:pos="567"/>
          <w:tab w:val="left" w:pos="3828" w:leader="none"/>
        </w:tabs>
        <w:ind w:left="1134" w:hanging="1134"/>
        <w:rPr/>
      </w:pPr>
      <w:r>
        <w:rPr/>
        <w:t xml:space="preserve">Дополнительные условия процедуры Аукциона описаны в разделе </w:t>
      </w:r>
      <w:r>
        <w:rPr/>
        <w:fldChar w:fldCharType="begin"/>
      </w:r>
      <w:r>
        <w:rPr/>
        <w:instrText xml:space="preserve"> REF _Ref56225120 \r \h </w:instrText>
      </w:r>
      <w:r>
        <w:rPr/>
        <w:fldChar w:fldCharType="separate"/>
      </w:r>
      <w:r>
        <w:rPr/>
        <w:t>7</w:t>
      </w:r>
      <w:r>
        <w:rPr/>
        <w:fldChar w:fldCharType="end"/>
      </w:r>
      <w:r>
        <w:rPr/>
        <w:t>.</w:t>
      </w:r>
    </w:p>
    <w:p>
      <w:pPr>
        <w:pStyle w:val="Heading2"/>
        <w:keepNext w:val="false"/>
        <w:widowControl w:val="false"/>
        <w:numPr>
          <w:ilvl w:val="1"/>
          <w:numId w:val="3"/>
        </w:numPr>
        <w:suppressAutoHyphens w:val="false"/>
        <w:ind w:left="1134" w:hanging="1134"/>
        <w:rPr>
          <w:sz w:val="26"/>
        </w:rPr>
      </w:pPr>
      <w:bookmarkStart w:id="153" w:name="_Toc187829905"/>
      <w:bookmarkStart w:id="154" w:name="_Toc55305380"/>
      <w:bookmarkStart w:id="155" w:name="_Toc69728965"/>
      <w:bookmarkStart w:id="156" w:name="_Ref55280418"/>
      <w:bookmarkStart w:id="157" w:name="_Toc55285343"/>
      <w:bookmarkStart w:id="158" w:name="_Toc57314642"/>
      <w:r>
        <w:rPr>
          <w:sz w:val="26"/>
        </w:rPr>
        <w:t>Официальное размещение Извещения</w:t>
      </w:r>
      <w:bookmarkEnd w:id="154"/>
      <w:bookmarkEnd w:id="155"/>
      <w:bookmarkEnd w:id="156"/>
      <w:bookmarkEnd w:id="157"/>
      <w:bookmarkEnd w:id="158"/>
      <w:r>
        <w:rPr>
          <w:sz w:val="26"/>
        </w:rPr>
        <w:t xml:space="preserve"> и Документации</w:t>
      </w:r>
      <w:bookmarkEnd w:id="153"/>
    </w:p>
    <w:p>
      <w:pPr>
        <w:pStyle w:val="Style25"/>
        <w:numPr>
          <w:ilvl w:val="2"/>
          <w:numId w:val="3"/>
        </w:numPr>
        <w:tabs>
          <w:tab w:val="clear" w:pos="567"/>
          <w:tab w:val="left" w:pos="3828" w:leader="none"/>
        </w:tabs>
        <w:ind w:left="1134" w:hanging="1134"/>
        <w:rPr/>
      </w:pPr>
      <w:r>
        <w:rPr/>
        <w:t xml:space="preserve">Извещение и Документация официально размещены в порядке, указанном в пункте </w:t>
      </w:r>
      <w:r>
        <w:rPr/>
        <w:fldChar w:fldCharType="begin"/>
      </w:r>
      <w:r>
        <w:rPr/>
        <w:instrText xml:space="preserve"> REF _Ref514462143 \r \h </w:instrText>
      </w:r>
      <w:r>
        <w:rPr/>
        <w:fldChar w:fldCharType="separate"/>
      </w:r>
      <w:r>
        <w:rPr/>
        <w:t>1.2.8</w:t>
      </w:r>
      <w:r>
        <w:rPr/>
        <w:fldChar w:fldCharType="end"/>
      </w:r>
      <w:r>
        <w:rPr/>
        <w:t>, и доступны для ознакомления без взимания платы. Иные публикации не являются официальными и не влекут для Продавца / Организатора никаких последствий.</w:t>
      </w:r>
    </w:p>
    <w:p>
      <w:pPr>
        <w:pStyle w:val="Style25"/>
        <w:numPr>
          <w:ilvl w:val="2"/>
          <w:numId w:val="3"/>
        </w:numPr>
        <w:tabs>
          <w:tab w:val="clear" w:pos="567"/>
          <w:tab w:val="left" w:pos="3828" w:leader="none"/>
        </w:tabs>
        <w:ind w:left="1134" w:hanging="1134"/>
        <w:rPr/>
      </w:pPr>
      <w:r>
        <w:rPr/>
        <w:t>Заявители /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Комиссии.</w:t>
      </w:r>
    </w:p>
    <w:p>
      <w:pPr>
        <w:pStyle w:val="Heading2"/>
        <w:numPr>
          <w:ilvl w:val="1"/>
          <w:numId w:val="3"/>
        </w:numPr>
        <w:ind w:left="1134" w:hanging="1134"/>
        <w:rPr>
          <w:sz w:val="26"/>
        </w:rPr>
      </w:pPr>
      <w:bookmarkStart w:id="159" w:name="_Toc187829906"/>
      <w:bookmarkStart w:id="160" w:name="_Ref514707961"/>
      <w:bookmarkStart w:id="161" w:name="_Toc57314653"/>
      <w:bookmarkStart w:id="162" w:name="_Toc311975313"/>
      <w:bookmarkEnd w:id="162"/>
      <w:r>
        <w:rPr>
          <w:sz w:val="26"/>
        </w:rPr>
        <w:t>Разъяснение Документации</w:t>
      </w:r>
      <w:bookmarkEnd w:id="161"/>
      <w:r>
        <w:rPr>
          <w:sz w:val="26"/>
        </w:rPr>
        <w:t xml:space="preserve"> о продаже</w:t>
      </w:r>
      <w:bookmarkEnd w:id="159"/>
      <w:bookmarkEnd w:id="160"/>
    </w:p>
    <w:p>
      <w:pPr>
        <w:pStyle w:val="Style25"/>
        <w:numPr>
          <w:ilvl w:val="2"/>
          <w:numId w:val="3"/>
        </w:numPr>
        <w:tabs>
          <w:tab w:val="clear" w:pos="567"/>
          <w:tab w:val="left" w:pos="3828" w:leader="none"/>
        </w:tabs>
        <w:ind w:left="1134" w:hanging="1134"/>
        <w:rPr/>
      </w:pPr>
      <w:r>
        <w:rPr/>
        <w:t xml:space="preserve">Заявители вправе обратиться к Организатору за разъяснениями Документации. </w:t>
      </w:r>
    </w:p>
    <w:p>
      <w:pPr>
        <w:pStyle w:val="Style25"/>
        <w:numPr>
          <w:ilvl w:val="2"/>
          <w:numId w:val="3"/>
        </w:numPr>
        <w:tabs>
          <w:tab w:val="clear" w:pos="567"/>
          <w:tab w:val="left" w:pos="3828" w:leader="none"/>
        </w:tabs>
        <w:ind w:left="1134" w:hanging="1134"/>
        <w:rPr/>
      </w:pPr>
      <w:r>
        <w:rPr/>
        <w:t>Запросы на разъяснение Документации подаются в соответствии с Регламентом ЭТП.</w:t>
      </w:r>
    </w:p>
    <w:p>
      <w:pPr>
        <w:pStyle w:val="Style25"/>
        <w:numPr>
          <w:ilvl w:val="2"/>
          <w:numId w:val="3"/>
        </w:numPr>
        <w:tabs>
          <w:tab w:val="clear" w:pos="567"/>
          <w:tab w:val="left" w:pos="3828" w:leader="none"/>
        </w:tabs>
        <w:ind w:left="1134" w:hanging="1134"/>
        <w:rPr/>
      </w:pPr>
      <w:r>
        <w:rPr/>
        <w:t xml:space="preserve">Организатор обязуется ответить на вопрос о разъяснении Документации, поступивший не позднее чем за 3 (три) рабочих дня до даты окончания срока подачи Заявок. В случае поступления вопросов позже установленного срока, Организатор вправе не предоставлять разъяснения. </w:t>
      </w:r>
    </w:p>
    <w:p>
      <w:pPr>
        <w:pStyle w:val="Style25"/>
        <w:numPr>
          <w:ilvl w:val="2"/>
          <w:numId w:val="3"/>
        </w:numPr>
        <w:tabs>
          <w:tab w:val="clear" w:pos="567"/>
          <w:tab w:val="left" w:pos="3828" w:leader="none"/>
        </w:tabs>
        <w:ind w:left="1134" w:hanging="1134"/>
        <w:rPr/>
      </w:pPr>
      <w:r>
        <w:rPr/>
        <w:t>Организатор вправе без получения запросов от Заявителей по собственной инициативе выпустить и официально разместить разъяснения Документации.</w:t>
      </w:r>
    </w:p>
    <w:p>
      <w:pPr>
        <w:pStyle w:val="Style25"/>
        <w:numPr>
          <w:ilvl w:val="2"/>
          <w:numId w:val="3"/>
        </w:numPr>
        <w:tabs>
          <w:tab w:val="clear" w:pos="567"/>
          <w:tab w:val="left" w:pos="3828" w:leader="none"/>
        </w:tabs>
        <w:ind w:left="1134" w:hanging="1134"/>
        <w:rPr/>
      </w:pPr>
      <w:r>
        <w:rPr/>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rPr/>
        <w:fldChar w:fldCharType="begin"/>
      </w:r>
      <w:r>
        <w:rPr/>
        <w:instrText xml:space="preserve"> REF _Ref513817350 \r \h </w:instrText>
      </w:r>
      <w:r>
        <w:rPr/>
        <w:fldChar w:fldCharType="separate"/>
      </w:r>
      <w:r>
        <w:rPr/>
        <w:t>1.2.14</w:t>
      </w:r>
      <w:r>
        <w:rPr/>
        <w:fldChar w:fldCharType="end"/>
      </w:r>
      <w:r>
        <w:rPr/>
        <w:t>.</w:t>
      </w:r>
    </w:p>
    <w:p>
      <w:pPr>
        <w:pStyle w:val="Style25"/>
        <w:numPr>
          <w:ilvl w:val="2"/>
          <w:numId w:val="3"/>
        </w:numPr>
        <w:tabs>
          <w:tab w:val="clear" w:pos="567"/>
          <w:tab w:val="left" w:pos="3828" w:leader="none"/>
        </w:tabs>
        <w:ind w:left="1134" w:hanging="1134"/>
        <w:rPr/>
      </w:pPr>
      <w:r>
        <w:rPr/>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pPr>
        <w:pStyle w:val="Style25"/>
        <w:numPr>
          <w:ilvl w:val="2"/>
          <w:numId w:val="3"/>
        </w:numPr>
        <w:tabs>
          <w:tab w:val="clear" w:pos="567"/>
          <w:tab w:val="left" w:pos="3828" w:leader="none"/>
        </w:tabs>
        <w:ind w:left="1134" w:hanging="1134"/>
        <w:rPr/>
      </w:pPr>
      <w:r>
        <w:rPr/>
        <w:t>В случае получения Заявителем любой иной информации в отношении условий проводимого Аукциона в порядке, не предусмотренном настоящим подразделом, такая информация не считается официальной, и Заявитель не вправе на нее ссылаться.</w:t>
      </w:r>
    </w:p>
    <w:p>
      <w:pPr>
        <w:pStyle w:val="Heading2"/>
        <w:numPr>
          <w:ilvl w:val="1"/>
          <w:numId w:val="3"/>
        </w:numPr>
        <w:ind w:left="1134" w:hanging="1134"/>
        <w:rPr>
          <w:sz w:val="26"/>
        </w:rPr>
      </w:pPr>
      <w:bookmarkStart w:id="163" w:name="_Toc187829907"/>
      <w:bookmarkStart w:id="164" w:name="_Ref514601359"/>
      <w:r>
        <w:rPr>
          <w:sz w:val="26"/>
        </w:rPr>
        <w:t>Изменения Документации о продаже</w:t>
      </w:r>
      <w:bookmarkEnd w:id="163"/>
      <w:bookmarkEnd w:id="164"/>
    </w:p>
    <w:p>
      <w:pPr>
        <w:pStyle w:val="Style25"/>
        <w:numPr>
          <w:ilvl w:val="2"/>
          <w:numId w:val="3"/>
        </w:numPr>
        <w:tabs>
          <w:tab w:val="clear" w:pos="567"/>
          <w:tab w:val="left" w:pos="3828" w:leader="none"/>
        </w:tabs>
        <w:ind w:left="1134" w:hanging="1134"/>
        <w:rPr/>
      </w:pPr>
      <w:r>
        <w:rPr/>
        <w:t xml:space="preserve">Организатор в любой момент до окончания срока подачи Заявок (пункт </w:t>
      </w:r>
      <w:r>
        <w:rPr/>
        <w:fldChar w:fldCharType="begin"/>
      </w:r>
      <w:r>
        <w:rPr/>
        <w:instrText xml:space="preserve"> REF _Ref389823218 \r \h </w:instrText>
      </w:r>
      <w:r>
        <w:rPr/>
        <w:fldChar w:fldCharType="separate"/>
      </w:r>
      <w:r>
        <w:rPr/>
        <w:t>1.2.15</w:t>
      </w:r>
      <w:r>
        <w:rPr/>
        <w:fldChar w:fldCharType="end"/>
      </w:r>
      <w:r>
        <w:rPr/>
        <w:t>) вправе внести изменения в Извещение и / или Документацию. Размещению подлежит Извещение в новой редакции и / или изменения в Документацию либо Документация в новой редакции. Организатор вправе принять решение о продлении срока подачи Заявок.</w:t>
      </w:r>
    </w:p>
    <w:p>
      <w:pPr>
        <w:pStyle w:val="Style25"/>
        <w:numPr>
          <w:ilvl w:val="2"/>
          <w:numId w:val="3"/>
        </w:numPr>
        <w:tabs>
          <w:tab w:val="clear" w:pos="567"/>
          <w:tab w:val="left" w:pos="3828" w:leader="none"/>
        </w:tabs>
        <w:ind w:left="1134" w:hanging="1134"/>
        <w:rPr/>
      </w:pPr>
      <w:r>
        <w:rPr/>
        <w:t>Заявители обязаны учитывать внесенные изменения при подготовке Заявок. Все риски и последствия за подачу Заявки без учета размещенных изменений несет Заявитель.</w:t>
      </w:r>
    </w:p>
    <w:p>
      <w:pPr>
        <w:pStyle w:val="Heading2"/>
        <w:numPr>
          <w:ilvl w:val="1"/>
          <w:numId w:val="3"/>
        </w:numPr>
        <w:ind w:left="1134" w:hanging="1134"/>
        <w:rPr>
          <w:sz w:val="26"/>
        </w:rPr>
      </w:pPr>
      <w:bookmarkStart w:id="165" w:name="_Toc187829908"/>
      <w:bookmarkStart w:id="166" w:name="_Toc55305382"/>
      <w:bookmarkStart w:id="167" w:name="_Toc69728967"/>
      <w:bookmarkStart w:id="168" w:name="_Ref55280436"/>
      <w:bookmarkStart w:id="169" w:name="_Ref514556725"/>
      <w:bookmarkStart w:id="170" w:name="_Toc55285345"/>
      <w:bookmarkStart w:id="171" w:name="_Toc57314644"/>
      <w:bookmarkStart w:id="172" w:name="_Ref514601380"/>
      <w:bookmarkStart w:id="173" w:name="_Ref514607557"/>
      <w:r>
        <w:rPr>
          <w:sz w:val="26"/>
        </w:rPr>
        <w:t>Подготовка Заявок</w:t>
      </w:r>
      <w:bookmarkEnd w:id="165"/>
      <w:bookmarkEnd w:id="166"/>
      <w:bookmarkEnd w:id="167"/>
      <w:bookmarkEnd w:id="168"/>
      <w:bookmarkEnd w:id="169"/>
      <w:bookmarkEnd w:id="170"/>
      <w:bookmarkEnd w:id="171"/>
      <w:bookmarkEnd w:id="172"/>
      <w:bookmarkEnd w:id="173"/>
    </w:p>
    <w:p>
      <w:pPr>
        <w:pStyle w:val="211111111111111"/>
        <w:numPr>
          <w:ilvl w:val="2"/>
          <w:numId w:val="3"/>
        </w:numPr>
        <w:rPr/>
      </w:pPr>
      <w:bookmarkStart w:id="174" w:name="_Toc187829909"/>
      <w:bookmarkStart w:id="175" w:name="_Toc57314645"/>
      <w:bookmarkStart w:id="176" w:name="_Ref56229154"/>
      <w:r>
        <w:rPr/>
        <w:t>Общие требования к Заявке</w:t>
      </w:r>
      <w:bookmarkEnd w:id="174"/>
      <w:bookmarkEnd w:id="175"/>
      <w:bookmarkEnd w:id="176"/>
    </w:p>
    <w:p>
      <w:pPr>
        <w:pStyle w:val="Style26"/>
        <w:numPr>
          <w:ilvl w:val="3"/>
          <w:numId w:val="3"/>
        </w:numPr>
        <w:rPr/>
      </w:pPr>
      <w:r>
        <w:rPr/>
        <w:t xml:space="preserve">Заявитель должен подготовить Заявку, включающую в себя полный комплект документов согласно перечню, определенному </w:t>
      </w:r>
      <w:r>
        <w:rPr/>
        <w:fldChar w:fldCharType="begin"/>
      </w:r>
      <w:r>
        <w:rPr/>
        <w:instrText xml:space="preserve"> REF _Ref526935885 \h </w:instrText>
      </w:r>
      <w:r>
        <w:rPr/>
        <w:fldChar w:fldCharType="separate"/>
      </w:r>
      <w:r>
        <w:rPr/>
        <w:t>Приложение № 4</w:t>
      </w:r>
      <w:r>
        <w:rPr/>
        <w:fldChar w:fldCharType="end"/>
      </w:r>
      <w:r>
        <w:rPr/>
        <w:t xml:space="preserve"> к Документации, в соответствии с образцами форм, установленными в разделе </w:t>
      </w:r>
      <w:r>
        <w:rPr/>
        <w:fldChar w:fldCharType="begin"/>
      </w:r>
      <w:r>
        <w:rPr/>
        <w:instrText xml:space="preserve"> REF _Ref55280368 \r \h </w:instrText>
      </w:r>
      <w:r>
        <w:rPr/>
        <w:fldChar w:fldCharType="separate"/>
      </w:r>
      <w:r>
        <w:rPr/>
        <w:t>8</w:t>
      </w:r>
      <w:r>
        <w:rPr/>
        <w:fldChar w:fldCharType="end"/>
      </w:r>
      <w:r>
        <w:rPr/>
        <w:t>.</w:t>
      </w:r>
    </w:p>
    <w:p>
      <w:pPr>
        <w:pStyle w:val="Style26"/>
        <w:numPr>
          <w:ilvl w:val="3"/>
          <w:numId w:val="3"/>
        </w:numPr>
        <w:rPr/>
      </w:pPr>
      <w:bookmarkStart w:id="177" w:name="_Ref466382406"/>
      <w:bookmarkStart w:id="178" w:name="_Ref56240821"/>
      <w:r>
        <w:rPr/>
        <w:t>Заявитель имеет право подать только одну Заявку</w:t>
      </w:r>
      <w:bookmarkEnd w:id="177"/>
      <w:bookmarkEnd w:id="178"/>
      <w:r>
        <w:rPr/>
        <w:t xml:space="preserve"> на участие в Аукционе. В случае нарушения данного требования (при получении двух и более Заявок от одного Заявителя в отношении одного и того же Предмета продажи) принимается Заявка поданная первой.</w:t>
      </w:r>
    </w:p>
    <w:p>
      <w:pPr>
        <w:pStyle w:val="Style26"/>
        <w:numPr>
          <w:ilvl w:val="0"/>
          <w:numId w:val="0"/>
        </w:numPr>
        <w:ind w:left="1134" w:hanging="0"/>
        <w:rPr/>
      </w:pPr>
      <w:r>
        <w:rPr/>
        <w:t>Подача Заявки на часть лота (Предмета продажи) не допускается, Заявки с нарушением данного требования не принимаются.</w:t>
      </w:r>
    </w:p>
    <w:p>
      <w:pPr>
        <w:pStyle w:val="Style26"/>
        <w:numPr>
          <w:ilvl w:val="3"/>
          <w:numId w:val="3"/>
        </w:numPr>
        <w:rPr/>
      </w:pPr>
      <w:bookmarkStart w:id="179" w:name="_Ref514625050"/>
      <w:bookmarkStart w:id="180" w:name="_Ref515979979"/>
      <w:r>
        <w:rPr/>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79"/>
      <w:bookmarkEnd w:id="180"/>
    </w:p>
    <w:p>
      <w:pPr>
        <w:pStyle w:val="Style26"/>
        <w:numPr>
          <w:ilvl w:val="3"/>
          <w:numId w:val="3"/>
        </w:numPr>
        <w:rPr/>
      </w:pPr>
      <w:r>
        <w:rPr/>
        <w:t>Представленные в составе Заявки документы, оформленные (выданные) государственными, лицензирующими, сертификационными, аккредитационными органами и / или саморегулируемыми организациями, должны соответствовать императивным требованиям (при наличии) законодательства РФ в отношении:</w:t>
      </w:r>
    </w:p>
    <w:p>
      <w:pPr>
        <w:pStyle w:val="Style27"/>
        <w:widowControl w:val="false"/>
        <w:numPr>
          <w:ilvl w:val="4"/>
          <w:numId w:val="3"/>
        </w:numPr>
        <w:ind w:left="1843" w:hanging="567"/>
        <w:rPr/>
      </w:pPr>
      <w:r>
        <w:rPr/>
        <w:t>полномочий таких органов (лиц) на оформление представленных в составе Заявки документов;</w:t>
      </w:r>
    </w:p>
    <w:p>
      <w:pPr>
        <w:pStyle w:val="Style27"/>
        <w:widowControl w:val="false"/>
        <w:numPr>
          <w:ilvl w:val="4"/>
          <w:numId w:val="3"/>
        </w:numPr>
        <w:ind w:left="1843" w:hanging="567"/>
        <w:rPr/>
      </w:pPr>
      <w:bookmarkStart w:id="181" w:name="_Ref56235235"/>
      <w:r>
        <w:rPr/>
        <w:t>формы, объема и содержания представленных в составе Заявки документов.</w:t>
      </w:r>
      <w:bookmarkEnd w:id="181"/>
    </w:p>
    <w:p>
      <w:pPr>
        <w:pStyle w:val="Style26"/>
        <w:numPr>
          <w:ilvl w:val="3"/>
          <w:numId w:val="3"/>
        </w:numPr>
        <w:rPr/>
      </w:pPr>
      <w:r>
        <w:rPr/>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pPr>
        <w:pStyle w:val="Style26"/>
        <w:numPr>
          <w:ilvl w:val="3"/>
          <w:numId w:val="3"/>
        </w:numPr>
        <w:rPr/>
      </w:pPr>
      <w:r>
        <w:rPr/>
        <w:t>Заявка должна быть подписана ЭЦП Заявителя.</w:t>
      </w:r>
    </w:p>
    <w:p>
      <w:pPr>
        <w:pStyle w:val="Style26"/>
        <w:numPr>
          <w:ilvl w:val="3"/>
          <w:numId w:val="3"/>
        </w:numPr>
        <w:rPr/>
      </w:pPr>
      <w:r>
        <w:rPr/>
        <w:t>Все документы, входящие в состав Заявки на участие в Аукционе, должны быть представлены Заявителем через ЭТП в отсканированном виде в формате Adobe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pPr>
        <w:pStyle w:val="Style26"/>
        <w:numPr>
          <w:ilvl w:val="3"/>
          <w:numId w:val="3"/>
        </w:numPr>
        <w:rPr/>
      </w:pPr>
      <w:r>
        <w:rPr/>
        <w:t>Все файлы не должны иметь защиты от их открытия, изменения, копирования их содержимого или их печати.</w:t>
      </w:r>
    </w:p>
    <w:p>
      <w:pPr>
        <w:pStyle w:val="Style26"/>
        <w:numPr>
          <w:ilvl w:val="3"/>
          <w:numId w:val="3"/>
        </w:numPr>
        <w:rPr/>
      </w:pPr>
      <w:r>
        <w:rPr/>
        <w:t>Все файлы электронной Заявки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(каждый документ следует размещать в отдельном файле).</w:t>
      </w:r>
    </w:p>
    <w:p>
      <w:pPr>
        <w:pStyle w:val="Style26"/>
        <w:numPr>
          <w:ilvl w:val="3"/>
          <w:numId w:val="3"/>
        </w:numPr>
        <w:rPr/>
      </w:pPr>
      <w:r>
        <w:rPr/>
        <w:t>В случае если сканированная копия какого-либо документа представлена в нечитаемом виде, данный документ считается не представленным.</w:t>
      </w:r>
    </w:p>
    <w:p>
      <w:pPr>
        <w:pStyle w:val="Style26"/>
        <w:numPr>
          <w:ilvl w:val="3"/>
          <w:numId w:val="3"/>
        </w:numPr>
        <w:rPr/>
      </w:pPr>
      <w:r>
        <w:rPr/>
        <w:t xml:space="preserve">В соответствии с Регламентом ЭТП, ЭТП автоматически присваивает Заявителю, подавшему Заявку на участие в Аукционе, уникальный в рамках Аукциона идентификационный номер. </w:t>
      </w:r>
    </w:p>
    <w:p>
      <w:pPr>
        <w:pStyle w:val="Style26"/>
        <w:numPr>
          <w:ilvl w:val="3"/>
          <w:numId w:val="3"/>
        </w:numPr>
        <w:rPr/>
      </w:pPr>
      <w:r>
        <w:rPr/>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pPr>
        <w:pStyle w:val="211111111111111"/>
        <w:numPr>
          <w:ilvl w:val="2"/>
          <w:numId w:val="3"/>
        </w:numPr>
        <w:rPr/>
      </w:pPr>
      <w:bookmarkStart w:id="182" w:name="_Toc187829910"/>
      <w:bookmarkStart w:id="183" w:name="_Ref56235653"/>
      <w:bookmarkStart w:id="184" w:name="_Toc57314646"/>
      <w:bookmarkStart w:id="185" w:name="_Ref56233643"/>
      <w:bookmarkStart w:id="186" w:name="_Ref324342276"/>
      <w:bookmarkStart w:id="187" w:name="_Toc453146031"/>
      <w:bookmarkStart w:id="188" w:name="_Toc452451015"/>
      <w:bookmarkEnd w:id="187"/>
      <w:bookmarkEnd w:id="188"/>
      <w:r>
        <w:rPr/>
        <w:t>Требования к сроку действия Заявки</w:t>
      </w:r>
      <w:bookmarkEnd w:id="182"/>
      <w:bookmarkEnd w:id="183"/>
      <w:bookmarkEnd w:id="184"/>
      <w:bookmarkEnd w:id="185"/>
      <w:bookmarkEnd w:id="186"/>
    </w:p>
    <w:p>
      <w:pPr>
        <w:pStyle w:val="Style26"/>
        <w:widowControl w:val="false"/>
        <w:numPr>
          <w:ilvl w:val="3"/>
          <w:numId w:val="3"/>
        </w:numPr>
        <w:rPr/>
      </w:pPr>
      <w:bookmarkStart w:id="189" w:name="_Ref457409191"/>
      <w:bookmarkStart w:id="190" w:name="_Ref56220570"/>
      <w:r>
        <w:rPr/>
        <w:t xml:space="preserve">Заявка должна быть действительна в течение срока проведения Аукциона до истечения срока, отведенного на заключение Договора (пункт </w:t>
      </w:r>
      <w:r>
        <w:rPr/>
        <w:fldChar w:fldCharType="begin"/>
      </w:r>
      <w:r>
        <w:rPr/>
        <w:instrText xml:space="preserve"> REF _Ref500429479 \r \h </w:instrText>
      </w:r>
      <w:r>
        <w:rPr/>
        <w:fldChar w:fldCharType="separate"/>
      </w:r>
      <w:r>
        <w:rPr/>
        <w:t>6.1.1</w:t>
      </w:r>
      <w:r>
        <w:rPr/>
        <w:fldChar w:fldCharType="end"/>
      </w:r>
      <w:r>
        <w:rPr/>
        <w:t xml:space="preserve">). </w:t>
      </w:r>
      <w:bookmarkEnd w:id="189"/>
      <w:bookmarkEnd w:id="190"/>
      <w:r>
        <w:rPr/>
        <w:t xml:space="preserve">В любом случае этот срок должен быть не менее чем 90 (девяносто) календарных дней с даты окончания срока подачи Заявок, установленной в пункте </w:t>
      </w:r>
      <w:r>
        <w:rPr/>
        <w:fldChar w:fldCharType="begin"/>
      </w:r>
      <w:r>
        <w:rPr/>
        <w:instrText xml:space="preserve"> REF _Ref389823218 \r \h </w:instrText>
      </w:r>
      <w:r>
        <w:rPr/>
        <w:fldChar w:fldCharType="separate"/>
      </w:r>
      <w:r>
        <w:rPr/>
        <w:t>1.2.15</w:t>
      </w:r>
      <w:r>
        <w:rPr/>
        <w:fldChar w:fldCharType="end"/>
      </w:r>
      <w:r>
        <w:rPr/>
        <w:t>. Указание меньшего срока действия Заявки на участие в Аукционе может служить основанием для отклонения Заявки.</w:t>
      </w:r>
    </w:p>
    <w:p>
      <w:pPr>
        <w:pStyle w:val="211111111111111"/>
        <w:numPr>
          <w:ilvl w:val="2"/>
          <w:numId w:val="3"/>
        </w:numPr>
        <w:rPr/>
      </w:pPr>
      <w:bookmarkStart w:id="191" w:name="_Toc187829911"/>
      <w:bookmarkStart w:id="192" w:name="_Ref324342156"/>
      <w:bookmarkStart w:id="193" w:name="_Toc57314647"/>
      <w:r>
        <w:rPr/>
        <w:t>Требования к языку Заявки</w:t>
      </w:r>
      <w:bookmarkEnd w:id="191"/>
      <w:bookmarkEnd w:id="192"/>
      <w:bookmarkEnd w:id="193"/>
    </w:p>
    <w:p>
      <w:pPr>
        <w:pStyle w:val="Style26"/>
        <w:numPr>
          <w:ilvl w:val="3"/>
          <w:numId w:val="3"/>
        </w:numPr>
        <w:rPr/>
      </w:pPr>
      <w:r>
        <w:rPr/>
        <w:t>Все документы, входящие в Заявку, должны быть подготовлены на русском языке, за исключением нижеследующего:</w:t>
      </w:r>
    </w:p>
    <w:p>
      <w:pPr>
        <w:pStyle w:val="Normal"/>
        <w:ind w:left="1134" w:hanging="0"/>
        <w:rPr/>
      </w:pPr>
      <w:r>
        <w:rPr/>
        <w:t>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апостилем).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w:t>
      </w:r>
    </w:p>
    <w:p>
      <w:pPr>
        <w:pStyle w:val="Style26"/>
        <w:numPr>
          <w:ilvl w:val="3"/>
          <w:numId w:val="3"/>
        </w:numPr>
        <w:rPr/>
      </w:pPr>
      <w:r>
        <w:rPr/>
        <w:t>Организатор вправе не рассматривать документы, не переведенные на русский язык.</w:t>
      </w:r>
      <w:bookmarkStart w:id="194" w:name="_Hlt40850038"/>
      <w:bookmarkEnd w:id="194"/>
    </w:p>
    <w:p>
      <w:pPr>
        <w:pStyle w:val="211111111111111"/>
        <w:numPr>
          <w:ilvl w:val="2"/>
          <w:numId w:val="3"/>
        </w:numPr>
        <w:rPr/>
      </w:pPr>
      <w:bookmarkStart w:id="195" w:name="_Toc187829912"/>
      <w:bookmarkStart w:id="196" w:name="_Toc57314648"/>
      <w:bookmarkStart w:id="197" w:name="_Ref514621956"/>
      <w:r>
        <w:rPr/>
        <w:t xml:space="preserve">Требования к валюте </w:t>
      </w:r>
      <w:bookmarkEnd w:id="196"/>
      <w:bookmarkEnd w:id="197"/>
      <w:r>
        <w:rPr/>
        <w:t>предложения</w:t>
      </w:r>
      <w:bookmarkEnd w:id="195"/>
    </w:p>
    <w:p>
      <w:pPr>
        <w:pStyle w:val="Style26"/>
        <w:numPr>
          <w:ilvl w:val="3"/>
          <w:numId w:val="3"/>
        </w:numPr>
        <w:rPr/>
      </w:pPr>
      <w:bookmarkStart w:id="198" w:name="_Ref56220708"/>
      <w:r>
        <w:rPr/>
        <w:t>Валюта, в которой Заявители подают ценовые предложения -  российский рубль</w:t>
      </w:r>
      <w:bookmarkEnd w:id="198"/>
      <w:r>
        <w:rPr/>
        <w:t>.</w:t>
      </w:r>
    </w:p>
    <w:p>
      <w:pPr>
        <w:pStyle w:val="211111111111111"/>
        <w:numPr>
          <w:ilvl w:val="2"/>
          <w:numId w:val="3"/>
        </w:numPr>
        <w:rPr/>
      </w:pPr>
      <w:bookmarkStart w:id="199" w:name="_Toc187829913"/>
      <w:bookmarkStart w:id="200" w:name="_Toc501038056"/>
      <w:bookmarkStart w:id="201" w:name="_Toc502257156"/>
      <w:bookmarkStart w:id="202" w:name="_Toc311975322"/>
      <w:bookmarkEnd w:id="200"/>
      <w:bookmarkEnd w:id="201"/>
      <w:bookmarkEnd w:id="202"/>
      <w:r>
        <w:rPr/>
        <w:t>Информация о задатке</w:t>
      </w:r>
      <w:bookmarkEnd w:id="199"/>
    </w:p>
    <w:p>
      <w:pPr>
        <w:pStyle w:val="Style26"/>
        <w:numPr>
          <w:ilvl w:val="3"/>
          <w:numId w:val="3"/>
        </w:numPr>
        <w:rPr/>
      </w:pPr>
      <w:bookmarkStart w:id="203" w:name="_Ref93139004"/>
      <w:bookmarkStart w:id="204" w:name="_Toc69728981"/>
      <w:bookmarkStart w:id="205" w:name="_Toc57314667"/>
      <w:bookmarkStart w:id="206" w:name="_Ref56239526"/>
      <w:bookmarkEnd w:id="203"/>
      <w:bookmarkEnd w:id="204"/>
      <w:bookmarkEnd w:id="205"/>
      <w:bookmarkEnd w:id="206"/>
      <w:r>
        <w:rPr/>
        <w:t xml:space="preserve">Для участия в Аукционе Заявитель должен перечислить задаток в порядке и размере, установленными в пункте </w:t>
      </w:r>
      <w:r>
        <w:rPr/>
        <w:fldChar w:fldCharType="begin"/>
      </w:r>
      <w:r>
        <w:rPr/>
        <w:instrText xml:space="preserve"> REF _Ref249865292 \r \h </w:instrText>
      </w:r>
      <w:r>
        <w:rPr/>
        <w:fldChar w:fldCharType="separate"/>
      </w:r>
      <w:r>
        <w:rPr/>
        <w:t>1.2.11</w:t>
      </w:r>
      <w:r>
        <w:rPr/>
        <w:fldChar w:fldCharType="end"/>
      </w:r>
      <w:r>
        <w:rPr/>
        <w:t>.</w:t>
      </w:r>
    </w:p>
    <w:p>
      <w:pPr>
        <w:pStyle w:val="Style26"/>
        <w:numPr>
          <w:ilvl w:val="3"/>
          <w:numId w:val="3"/>
        </w:numPr>
        <w:rPr/>
      </w:pPr>
      <w:r>
        <w:rPr/>
        <w:t>Подача Заявки и перечисление задатка является акцептом оферты в соответствии со ст. 437 ГК РФ, после чего договор о задатке считается заключенным в письменной форме.</w:t>
      </w:r>
    </w:p>
    <w:p>
      <w:pPr>
        <w:pStyle w:val="Style26"/>
        <w:numPr>
          <w:ilvl w:val="3"/>
          <w:numId w:val="3"/>
        </w:numPr>
        <w:rPr/>
      </w:pPr>
      <w:r>
        <w:rPr/>
        <w:t xml:space="preserve">Плательщиком по оплате задатка может быть только Заявитель. </w:t>
      </w:r>
    </w:p>
    <w:p>
      <w:pPr>
        <w:pStyle w:val="Style26"/>
        <w:numPr>
          <w:ilvl w:val="3"/>
          <w:numId w:val="3"/>
        </w:numPr>
        <w:rPr/>
      </w:pPr>
      <w:r>
        <w:rPr/>
        <w:t xml:space="preserve">Порядок внесения задатка, в случае если требование о задатке было установлено Организатором в Извещении (пункт </w:t>
      </w:r>
      <w:r>
        <w:rPr/>
        <w:fldChar w:fldCharType="begin"/>
      </w:r>
      <w:r>
        <w:rPr/>
        <w:instrText xml:space="preserve"> REF _Ref249865292 \r \h </w:instrText>
      </w:r>
      <w:r>
        <w:rPr/>
        <w:fldChar w:fldCharType="separate"/>
      </w:r>
      <w:r>
        <w:rPr/>
        <w:t>1.2.11</w:t>
      </w:r>
      <w:r>
        <w:rPr/>
        <w:fldChar w:fldCharType="end"/>
      </w:r>
      <w:r>
        <w:rPr/>
        <w:t xml:space="preserve">) и / или платы за участие в процедуре, если таковая предусмотрена ЭТП, сроки внесения, порядок и сроки возврата </w:t>
        <w:br/>
        <w:t>и / или удержания указанных платежей определяются в соответствии с Регламентом ЭТП.</w:t>
      </w:r>
    </w:p>
    <w:p>
      <w:pPr>
        <w:pStyle w:val="Heading2"/>
        <w:keepNext w:val="false"/>
        <w:widowControl w:val="false"/>
        <w:numPr>
          <w:ilvl w:val="1"/>
          <w:numId w:val="3"/>
        </w:numPr>
        <w:ind w:left="1134" w:hanging="1134"/>
        <w:rPr>
          <w:sz w:val="26"/>
        </w:rPr>
      </w:pPr>
      <w:bookmarkStart w:id="207" w:name="_Toc187829914"/>
      <w:bookmarkStart w:id="208" w:name="_Toc57314654"/>
      <w:bookmarkStart w:id="209" w:name="_Toc55305383"/>
      <w:bookmarkStart w:id="210" w:name="_Ref55280443"/>
      <w:bookmarkStart w:id="211" w:name="_Toc69728968"/>
      <w:bookmarkStart w:id="212" w:name="_Toc55285351"/>
      <w:bookmarkStart w:id="213" w:name="_Ref514649217"/>
      <w:bookmarkStart w:id="214" w:name="_Ref56239526_Копия_1"/>
      <w:bookmarkStart w:id="215" w:name="_Ref93139004_Копия_1"/>
      <w:bookmarkStart w:id="216" w:name="_Toc69728981_Копия_1"/>
      <w:bookmarkStart w:id="217" w:name="_Toc57314667_Копия_1"/>
      <w:bookmarkStart w:id="218" w:name="_Toc526947876"/>
      <w:bookmarkStart w:id="219" w:name="_Toc526927498"/>
      <w:bookmarkEnd w:id="214"/>
      <w:bookmarkEnd w:id="215"/>
      <w:bookmarkEnd w:id="216"/>
      <w:bookmarkEnd w:id="217"/>
      <w:bookmarkEnd w:id="218"/>
      <w:bookmarkEnd w:id="219"/>
      <w:r>
        <w:rPr>
          <w:sz w:val="26"/>
        </w:rPr>
        <w:t>Подача Заявок и их прием</w:t>
      </w:r>
      <w:bookmarkStart w:id="220" w:name="_Hlk524091094"/>
      <w:bookmarkEnd w:id="207"/>
      <w:bookmarkEnd w:id="208"/>
      <w:bookmarkEnd w:id="209"/>
      <w:bookmarkEnd w:id="210"/>
      <w:bookmarkEnd w:id="211"/>
      <w:bookmarkEnd w:id="212"/>
      <w:bookmarkEnd w:id="213"/>
      <w:bookmarkEnd w:id="220"/>
    </w:p>
    <w:p>
      <w:pPr>
        <w:pStyle w:val="Style25"/>
        <w:numPr>
          <w:ilvl w:val="2"/>
          <w:numId w:val="3"/>
        </w:numPr>
        <w:tabs>
          <w:tab w:val="clear" w:pos="567"/>
          <w:tab w:val="left" w:pos="142" w:leader="none"/>
        </w:tabs>
        <w:ind w:left="1134" w:hanging="1134"/>
        <w:rPr/>
      </w:pPr>
      <w:r>
        <w:rPr/>
        <w:t xml:space="preserve">Заявитель вправе подать Заявку на участие в Аукционе в любое время начиная с даты официального размещения Извещения (пункт </w:t>
      </w:r>
      <w:r>
        <w:rPr/>
        <w:fldChar w:fldCharType="begin"/>
      </w:r>
      <w:r>
        <w:rPr/>
        <w:instrText xml:space="preserve"> REF _Ref49356163 \r \h </w:instrText>
      </w:r>
      <w:r>
        <w:rPr/>
        <w:fldChar w:fldCharType="separate"/>
      </w:r>
      <w:r>
        <w:rPr/>
        <w:t>1.2.12</w:t>
      </w:r>
      <w:r>
        <w:rPr/>
        <w:fldChar w:fldCharType="end"/>
      </w:r>
      <w:r>
        <w:rPr/>
        <w:t xml:space="preserve">) и до окончания срока подачи Заявок, указанного в пункте </w:t>
      </w:r>
      <w:r>
        <w:rPr>
          <w:rStyle w:val="Style4"/>
          <w:b w:val="false"/>
          <w:i w:val="false"/>
          <w:shd w:fill="auto" w:val="clear"/>
        </w:rPr>
        <w:fldChar w:fldCharType="begin"/>
      </w:r>
      <w:r>
        <w:rPr>
          <w:rStyle w:val="Style4"/>
          <w:i w:val="false"/>
          <w:b w:val="false"/>
          <w:shd w:fill="auto" w:val="clear"/>
        </w:rPr>
        <w:instrText xml:space="preserve"> REF _Ref389823218 \r \h </w:instrText>
      </w:r>
      <w:r>
        <w:rPr>
          <w:rStyle w:val="Style4"/>
          <w:i w:val="false"/>
          <w:b w:val="false"/>
          <w:shd w:fill="auto" w:val="clear"/>
        </w:rPr>
        <w:fldChar w:fldCharType="separate"/>
      </w:r>
      <w:r>
        <w:rPr>
          <w:rStyle w:val="Style4"/>
          <w:i w:val="false"/>
          <w:b w:val="false"/>
          <w:shd w:fill="auto" w:val="clear"/>
        </w:rPr>
        <w:t>1.2.15</w:t>
      </w:r>
      <w:r>
        <w:rPr>
          <w:rStyle w:val="Style4"/>
          <w:i w:val="false"/>
          <w:b w:val="false"/>
          <w:shd w:fill="auto" w:val="clear"/>
        </w:rPr>
        <w:fldChar w:fldCharType="end"/>
      </w:r>
      <w:r>
        <w:rPr/>
        <w:t xml:space="preserve">. </w:t>
      </w:r>
    </w:p>
    <w:p>
      <w:pPr>
        <w:pStyle w:val="Style25"/>
        <w:numPr>
          <w:ilvl w:val="2"/>
          <w:numId w:val="3"/>
        </w:numPr>
        <w:tabs>
          <w:tab w:val="clear" w:pos="567"/>
          <w:tab w:val="left" w:pos="142" w:leader="none"/>
        </w:tabs>
        <w:ind w:left="1134" w:hanging="1134"/>
        <w:rPr/>
      </w:pPr>
      <w:r>
        <w:rPr/>
        <w:t>Подача Заявителем Заявки означает его безоговорочное согласие с условиями участия в Аукционе, содержащимися в Документации (включая все приложения к ней).</w:t>
      </w:r>
    </w:p>
    <w:p>
      <w:pPr>
        <w:pStyle w:val="Style25"/>
        <w:numPr>
          <w:ilvl w:val="2"/>
          <w:numId w:val="3"/>
        </w:numPr>
        <w:tabs>
          <w:tab w:val="clear" w:pos="567"/>
          <w:tab w:val="left" w:pos="142" w:leader="none"/>
        </w:tabs>
        <w:ind w:left="1134" w:hanging="1134"/>
        <w:rPr/>
      </w:pPr>
      <w:bookmarkStart w:id="221" w:name="_Toc210452306"/>
      <w:bookmarkStart w:id="222" w:name="_Ref56229451"/>
      <w:bookmarkStart w:id="223" w:name="_Ref268012040"/>
      <w:bookmarkStart w:id="224" w:name="_Toc170292276"/>
      <w:bookmarkStart w:id="225" w:name="_Toc115776303"/>
      <w:bookmarkStart w:id="226" w:name="_Toc329344073"/>
      <w:bookmarkEnd w:id="221"/>
      <w:bookmarkEnd w:id="222"/>
      <w:bookmarkEnd w:id="223"/>
      <w:bookmarkEnd w:id="224"/>
      <w:bookmarkEnd w:id="225"/>
      <w:bookmarkEnd w:id="226"/>
      <w:r>
        <w:rPr/>
        <w:t>Заявка должна быть подана Заявителем посредством функциональности ЭТП согласно вышеуказанным требованиям.</w:t>
      </w:r>
    </w:p>
    <w:p>
      <w:pPr>
        <w:pStyle w:val="Style25"/>
        <w:numPr>
          <w:ilvl w:val="2"/>
          <w:numId w:val="3"/>
        </w:numPr>
        <w:tabs>
          <w:tab w:val="clear" w:pos="567"/>
          <w:tab w:val="left" w:pos="142" w:leader="none"/>
        </w:tabs>
        <w:ind w:left="1134" w:hanging="1134"/>
        <w:rPr/>
      </w:pPr>
      <w:r>
        <w:rPr/>
        <w:t xml:space="preserve">Правила подачи Заявок определяются Регламентом ЭТП. Заявки, поданные через ЭТП, дублировать в адрес Организатора или Продавца по почте, электронной почте и / или другими способами не требуется. Заявки, полученные Организатором или Продавцом не через ЭТП, не рассматриваются. </w:t>
      </w:r>
    </w:p>
    <w:p>
      <w:pPr>
        <w:pStyle w:val="Style25"/>
        <w:numPr>
          <w:ilvl w:val="2"/>
          <w:numId w:val="3"/>
        </w:numPr>
        <w:tabs>
          <w:tab w:val="clear" w:pos="567"/>
          <w:tab w:val="left" w:pos="142" w:leader="none"/>
        </w:tabs>
        <w:ind w:left="1134" w:hanging="1134"/>
        <w:rPr/>
      </w:pPr>
      <w:r>
        <w:rPr/>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pPr>
        <w:pStyle w:val="Style25"/>
        <w:numPr>
          <w:ilvl w:val="2"/>
          <w:numId w:val="3"/>
        </w:numPr>
        <w:tabs>
          <w:tab w:val="clear" w:pos="567"/>
          <w:tab w:val="left" w:pos="142" w:leader="none"/>
        </w:tabs>
        <w:ind w:left="1134" w:hanging="1134"/>
        <w:rPr/>
      </w:pPr>
      <w:r>
        <w:rPr/>
        <w:t>Оператор ЭТП до окончания срока подачи Заявок обеспечивает конфиденциальность информации, содержащейся в поданных Заявках.</w:t>
      </w:r>
    </w:p>
    <w:p>
      <w:pPr>
        <w:pStyle w:val="Heading2"/>
        <w:numPr>
          <w:ilvl w:val="1"/>
          <w:numId w:val="3"/>
        </w:numPr>
        <w:ind w:left="1134" w:hanging="1134"/>
        <w:rPr>
          <w:sz w:val="26"/>
        </w:rPr>
      </w:pPr>
      <w:bookmarkStart w:id="227" w:name="_Toc187829915"/>
      <w:bookmarkStart w:id="228" w:name="_Toc69728979"/>
      <w:bookmarkStart w:id="229" w:name="_Ref56251474"/>
      <w:bookmarkStart w:id="230" w:name="_Toc57314665"/>
      <w:bookmarkStart w:id="231" w:name="_Toc526947881"/>
      <w:bookmarkStart w:id="232" w:name="_Toc525302890"/>
      <w:bookmarkStart w:id="233" w:name="_Toc525302893"/>
      <w:bookmarkStart w:id="234" w:name="_Toc69728969"/>
      <w:bookmarkStart w:id="235" w:name="_Toc57314655"/>
      <w:bookmarkStart w:id="236" w:name="_Toc55305384"/>
      <w:bookmarkStart w:id="237" w:name="_Toc55285352"/>
      <w:bookmarkStart w:id="238" w:name="_Ref55280448"/>
      <w:bookmarkStart w:id="239" w:name="_Toc526947880"/>
      <w:bookmarkStart w:id="240" w:name="_Toc210452306_Копия_1"/>
      <w:bookmarkStart w:id="241" w:name="_Ref56229451_Копия_1"/>
      <w:bookmarkStart w:id="242" w:name="_Ref268012040_Копия_1"/>
      <w:bookmarkStart w:id="243" w:name="_Toc170292276_Копия_1"/>
      <w:bookmarkStart w:id="244" w:name="_Toc115776303_Копия_1"/>
      <w:bookmarkStart w:id="245" w:name="_Toc453146057"/>
      <w:bookmarkStart w:id="246" w:name="_Toc452451041"/>
      <w:bookmarkStart w:id="247" w:name="_Toc453230001"/>
      <w:bookmarkStart w:id="248" w:name="_Toc512721009"/>
      <w:bookmarkStart w:id="249" w:name="_Toc329344073_Копия_1"/>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sz w:val="26"/>
        </w:rPr>
        <w:t>Изменение и отзыв Заявок</w:t>
      </w:r>
      <w:bookmarkEnd w:id="227"/>
      <w:bookmarkEnd w:id="228"/>
      <w:bookmarkEnd w:id="229"/>
      <w:bookmarkEnd w:id="230"/>
    </w:p>
    <w:p>
      <w:pPr>
        <w:pStyle w:val="Style25"/>
        <w:numPr>
          <w:ilvl w:val="2"/>
          <w:numId w:val="3"/>
        </w:numPr>
        <w:tabs>
          <w:tab w:val="clear" w:pos="567"/>
          <w:tab w:val="left" w:pos="3828" w:leader="none"/>
        </w:tabs>
        <w:ind w:left="1134" w:hanging="1134"/>
        <w:rPr/>
      </w:pPr>
      <w:r>
        <w:rPr/>
        <w:t xml:space="preserve">Заявитель вправе изменить или отозвать поданную им ранее Заявку до момента окончания срока подачи Заявок (пункт </w:t>
      </w:r>
      <w:r>
        <w:rPr/>
        <w:fldChar w:fldCharType="begin"/>
      </w:r>
      <w:r>
        <w:rPr/>
        <w:instrText xml:space="preserve"> REF _Ref389823218 \r \h </w:instrText>
      </w:r>
      <w:r>
        <w:rPr/>
        <w:fldChar w:fldCharType="separate"/>
      </w:r>
      <w:r>
        <w:rPr/>
        <w:t>1.2.15</w:t>
      </w:r>
      <w:r>
        <w:rPr/>
        <w:fldChar w:fldCharType="end"/>
      </w:r>
      <w:r>
        <w:rPr/>
        <w:t>), в указанном ниже порядке. После окончания срока подачи Заявок внесение изменений в Заявку не допускается, кроме случаев, прямо предусмотренных Документацией.</w:t>
      </w:r>
    </w:p>
    <w:p>
      <w:pPr>
        <w:pStyle w:val="Style25"/>
        <w:numPr>
          <w:ilvl w:val="2"/>
          <w:numId w:val="3"/>
        </w:numPr>
        <w:tabs>
          <w:tab w:val="clear" w:pos="567"/>
          <w:tab w:val="left" w:pos="3828" w:leader="none"/>
        </w:tabs>
        <w:ind w:left="1134" w:hanging="1134"/>
        <w:rPr/>
      </w:pPr>
      <w:r>
        <w:rPr/>
        <w:t>Отзыв Заявителем ранее поданной Заявки является отказом от участия в Аукционе, отозванные Заявки не рассматриваются Организатором.</w:t>
      </w:r>
    </w:p>
    <w:p>
      <w:pPr>
        <w:pStyle w:val="Style25"/>
        <w:numPr>
          <w:ilvl w:val="2"/>
          <w:numId w:val="3"/>
        </w:numPr>
        <w:tabs>
          <w:tab w:val="clear" w:pos="567"/>
          <w:tab w:val="left" w:pos="3828" w:leader="none"/>
        </w:tabs>
        <w:ind w:left="1134" w:hanging="1134"/>
        <w:rPr/>
      </w:pPr>
      <w:r>
        <w:rPr/>
        <w:t>Изменение и отзыв Заявителем ранее поданной Заявки осуществляется посредством функциональности ЭТП, порядок изменения и отзыва Заявки определяется Регламентом ЭТП.</w:t>
      </w:r>
    </w:p>
    <w:p>
      <w:pPr>
        <w:pStyle w:val="Heading2"/>
        <w:numPr>
          <w:ilvl w:val="1"/>
          <w:numId w:val="3"/>
        </w:numPr>
        <w:ind w:left="1134" w:hanging="1134"/>
        <w:rPr>
          <w:sz w:val="26"/>
        </w:rPr>
      </w:pPr>
      <w:bookmarkStart w:id="250" w:name="_Toc187829916"/>
      <w:bookmarkStart w:id="251" w:name="_Ref524002679"/>
      <w:bookmarkStart w:id="252" w:name="_Toc516980508"/>
      <w:bookmarkStart w:id="253" w:name="_Toc512721009_Копия_1"/>
      <w:bookmarkEnd w:id="252"/>
      <w:bookmarkEnd w:id="253"/>
      <w:r>
        <w:rPr>
          <w:sz w:val="26"/>
        </w:rPr>
        <w:t>Открытие доступа к Заявкам</w:t>
      </w:r>
      <w:bookmarkEnd w:id="250"/>
      <w:bookmarkEnd w:id="251"/>
    </w:p>
    <w:p>
      <w:pPr>
        <w:pStyle w:val="Style25"/>
        <w:numPr>
          <w:ilvl w:val="2"/>
          <w:numId w:val="3"/>
        </w:numPr>
        <w:tabs>
          <w:tab w:val="clear" w:pos="567"/>
          <w:tab w:val="left" w:pos="3828" w:leader="none"/>
        </w:tabs>
        <w:ind w:left="1134" w:hanging="1134"/>
        <w:rPr/>
      </w:pPr>
      <w:bookmarkStart w:id="254" w:name="_Ref324334912"/>
      <w:bookmarkStart w:id="255" w:name="_Ref56221780"/>
      <w:bookmarkEnd w:id="254"/>
      <w:bookmarkEnd w:id="255"/>
      <w:r>
        <w:rPr/>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bookmarkStart w:id="256" w:name="_Hlk524094134"/>
      <w:r>
        <w:rPr/>
        <w:t xml:space="preserve">после окончания срока подачи Заявок, установленного в пункте </w:t>
      </w:r>
      <w:r>
        <w:rPr/>
        <w:fldChar w:fldCharType="begin"/>
      </w:r>
      <w:r>
        <w:rPr/>
        <w:instrText xml:space="preserve"> REF _Ref389823218 \r \h </w:instrText>
      </w:r>
      <w:r>
        <w:rPr/>
        <w:fldChar w:fldCharType="separate"/>
      </w:r>
      <w:r>
        <w:rPr/>
        <w:t>1.2.15</w:t>
      </w:r>
      <w:r>
        <w:rPr/>
        <w:fldChar w:fldCharType="end"/>
      </w:r>
      <w:bookmarkEnd w:id="256"/>
      <w:r>
        <w:rPr/>
        <w:t xml:space="preserve">. </w:t>
      </w:r>
    </w:p>
    <w:p>
      <w:pPr>
        <w:pStyle w:val="Style25"/>
        <w:numPr>
          <w:ilvl w:val="2"/>
          <w:numId w:val="3"/>
        </w:numPr>
        <w:tabs>
          <w:tab w:val="clear" w:pos="567"/>
          <w:tab w:val="left" w:pos="3828" w:leader="none"/>
        </w:tabs>
        <w:ind w:left="1134" w:hanging="1134"/>
        <w:rPr/>
      </w:pPr>
      <w:r>
        <w:rPr/>
        <w:t>При проведении Аукциона Оператор ЭТП предоставляет Организатору доступ одновременно ко всем поданным Заявкам в полном объеме.</w:t>
      </w:r>
    </w:p>
    <w:p>
      <w:pPr>
        <w:pStyle w:val="Style25"/>
        <w:numPr>
          <w:ilvl w:val="2"/>
          <w:numId w:val="3"/>
        </w:numPr>
        <w:tabs>
          <w:tab w:val="clear" w:pos="567"/>
          <w:tab w:val="left" w:pos="3828" w:leader="none"/>
        </w:tabs>
        <w:ind w:left="1134" w:hanging="1134"/>
        <w:rPr/>
      </w:pPr>
      <w:r>
        <w:rPr/>
        <w:t>Порядок получения Заявителями информации о поступивших через ЭТП Заявках определяется Регламентом ЭТП.</w:t>
      </w:r>
    </w:p>
    <w:p>
      <w:pPr>
        <w:pStyle w:val="Heading2"/>
        <w:numPr>
          <w:ilvl w:val="1"/>
          <w:numId w:val="3"/>
        </w:numPr>
        <w:ind w:left="1134" w:hanging="1134"/>
        <w:rPr>
          <w:sz w:val="26"/>
        </w:rPr>
      </w:pPr>
      <w:bookmarkStart w:id="257" w:name="_Toc187829917"/>
      <w:bookmarkStart w:id="258" w:name="_Ref514620397"/>
      <w:bookmarkStart w:id="259" w:name="_Toc69728970"/>
      <w:bookmarkStart w:id="260" w:name="_Toc57314656"/>
      <w:bookmarkStart w:id="261" w:name="_Toc55305385"/>
      <w:bookmarkStart w:id="262" w:name="_Toc55285353"/>
      <w:bookmarkStart w:id="263" w:name="_Ref55280453"/>
      <w:bookmarkStart w:id="264" w:name="_Toc516961321"/>
      <w:bookmarkStart w:id="265" w:name="_Toc516980527"/>
      <w:bookmarkStart w:id="266" w:name="_Toc516961319"/>
      <w:bookmarkStart w:id="267" w:name="_Toc516980525"/>
      <w:bookmarkStart w:id="268" w:name="_Toc516961470"/>
      <w:bookmarkStart w:id="269" w:name="_Toc516961464"/>
      <w:bookmarkStart w:id="270" w:name="_Toc516961454"/>
      <w:bookmarkStart w:id="271" w:name="_Toc516961318"/>
      <w:bookmarkStart w:id="272" w:name="_Toc516961463"/>
      <w:bookmarkStart w:id="273" w:name="_Toc516980529"/>
      <w:bookmarkStart w:id="274" w:name="_Toc516980526"/>
      <w:bookmarkStart w:id="275" w:name="_Toc516980523"/>
      <w:bookmarkStart w:id="276" w:name="_Toc516961317"/>
      <w:bookmarkStart w:id="277" w:name="_Toc516961471"/>
      <w:bookmarkStart w:id="278" w:name="_Toc516980524"/>
      <w:bookmarkStart w:id="279" w:name="_Toc516980531"/>
      <w:bookmarkStart w:id="280" w:name="_Toc516961467"/>
      <w:bookmarkStart w:id="281" w:name="_Toc516961324"/>
      <w:bookmarkStart w:id="282" w:name="_Toc516961316"/>
      <w:bookmarkStart w:id="283" w:name="_Toc516961468"/>
      <w:bookmarkStart w:id="284" w:name="_Toc516980530"/>
      <w:bookmarkStart w:id="285" w:name="_Toc516980528"/>
      <w:bookmarkStart w:id="286" w:name="_Toc516961452"/>
      <w:bookmarkStart w:id="287" w:name="_Toc516961469"/>
      <w:bookmarkStart w:id="288" w:name="_Toc516980532"/>
      <w:bookmarkStart w:id="289" w:name="_Toc516961455"/>
      <w:bookmarkStart w:id="290" w:name="_Toc516961309"/>
      <w:bookmarkStart w:id="291" w:name="_Toc516961325"/>
      <w:bookmarkStart w:id="292" w:name="_Toc516980515"/>
      <w:bookmarkStart w:id="293" w:name="_Toc516961314"/>
      <w:bookmarkStart w:id="294" w:name="_Toc516961306"/>
      <w:bookmarkStart w:id="295" w:name="_Toc516980520"/>
      <w:bookmarkStart w:id="296" w:name="_Ref56221780_Копия_1"/>
      <w:bookmarkStart w:id="297" w:name="_Toc516961307"/>
      <w:bookmarkStart w:id="298" w:name="_Toc516961457"/>
      <w:bookmarkStart w:id="299" w:name="_Toc516961311"/>
      <w:bookmarkStart w:id="300" w:name="_Toc516980517"/>
      <w:bookmarkStart w:id="301" w:name="_Toc516961456"/>
      <w:bookmarkStart w:id="302" w:name="_Toc516961460"/>
      <w:bookmarkStart w:id="303" w:name="_Toc516961310"/>
      <w:bookmarkStart w:id="304" w:name="_Toc516980518"/>
      <w:bookmarkStart w:id="305" w:name="_Ref324334912_Копия_1"/>
      <w:bookmarkStart w:id="306" w:name="_Toc69728969_Копия_1"/>
      <w:bookmarkStart w:id="307" w:name="_Toc57314655_Копия_1"/>
      <w:bookmarkStart w:id="308" w:name="_Toc55305384_Копия_1"/>
      <w:bookmarkStart w:id="309" w:name="_Toc55285352_Копия_1"/>
      <w:bookmarkStart w:id="310" w:name="_Ref55280448_Копия_1"/>
      <w:bookmarkStart w:id="311" w:name="_Toc516961323"/>
      <w:bookmarkStart w:id="312" w:name="_Toc516961462"/>
      <w:bookmarkStart w:id="313" w:name="_Toc516961322"/>
      <w:bookmarkStart w:id="314" w:name="_Toc516961459"/>
      <w:bookmarkStart w:id="315" w:name="_Toc516980516"/>
      <w:bookmarkStart w:id="316" w:name="_Toc516961308"/>
      <w:bookmarkStart w:id="317" w:name="_Toc516980512"/>
      <w:bookmarkStart w:id="318" w:name="_Toc516961313"/>
      <w:bookmarkStart w:id="319" w:name="_Toc516961451"/>
      <w:bookmarkStart w:id="320" w:name="_Toc516961305"/>
      <w:bookmarkStart w:id="321" w:name="_Toc516980514"/>
      <w:bookmarkStart w:id="322" w:name="_Toc516961453"/>
      <w:bookmarkStart w:id="323" w:name="_Toc516961304"/>
      <w:bookmarkStart w:id="324" w:name="_Toc516980522"/>
      <w:bookmarkStart w:id="325" w:name="_Toc516961461"/>
      <w:bookmarkStart w:id="326" w:name="_Toc516961315"/>
      <w:bookmarkStart w:id="327" w:name="_Toc516980521"/>
      <w:bookmarkStart w:id="328" w:name="_Toc516961465"/>
      <w:bookmarkStart w:id="329" w:name="_Toc516980511"/>
      <w:bookmarkStart w:id="330" w:name="_Toc516961320"/>
      <w:bookmarkStart w:id="331" w:name="_Toc516961450"/>
      <w:bookmarkStart w:id="332" w:name="_Toc516961466"/>
      <w:bookmarkStart w:id="333" w:name="_Toc51698051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sz w:val="26"/>
        </w:rPr>
        <w:t>Рассмотрение Заявок</w:t>
      </w:r>
      <w:bookmarkEnd w:id="257"/>
      <w:bookmarkEnd w:id="258"/>
      <w:bookmarkEnd w:id="259"/>
      <w:bookmarkEnd w:id="260"/>
      <w:bookmarkEnd w:id="261"/>
      <w:bookmarkEnd w:id="262"/>
      <w:bookmarkEnd w:id="263"/>
      <w:r>
        <w:rPr>
          <w:sz w:val="26"/>
        </w:rPr>
        <w:t xml:space="preserve"> </w:t>
      </w:r>
    </w:p>
    <w:p>
      <w:pPr>
        <w:pStyle w:val="Style25"/>
        <w:numPr>
          <w:ilvl w:val="2"/>
          <w:numId w:val="3"/>
        </w:numPr>
        <w:tabs>
          <w:tab w:val="clear" w:pos="567"/>
          <w:tab w:val="left" w:pos="1134" w:leader="none"/>
        </w:tabs>
        <w:ind w:left="1134" w:hanging="1134"/>
        <w:rPr/>
      </w:pPr>
      <w:r>
        <w:rPr/>
        <w:t xml:space="preserve">Дата окончания срока рассмотрения Заявок указана в пункте </w:t>
      </w:r>
      <w:r>
        <w:rPr/>
        <w:fldChar w:fldCharType="begin"/>
      </w:r>
      <w:r>
        <w:rPr/>
        <w:instrText xml:space="preserve"> REF _Ref334789513 \r \h </w:instrText>
      </w:r>
      <w:r>
        <w:rPr/>
        <w:fldChar w:fldCharType="separate"/>
      </w:r>
      <w:r>
        <w:rPr/>
        <w:t>1.2.16</w:t>
      </w:r>
      <w:r>
        <w:rPr/>
        <w:fldChar w:fldCharType="end"/>
      </w:r>
      <w:r>
        <w:rPr/>
        <w:t>. Организатор (по согласованию с Продавцом, если последний не является одновременно Организатором) вправе, при необходимости, изменить данный срок, официально разместив информацию об этом.</w:t>
      </w:r>
    </w:p>
    <w:p>
      <w:pPr>
        <w:pStyle w:val="Style25"/>
        <w:numPr>
          <w:ilvl w:val="2"/>
          <w:numId w:val="3"/>
        </w:numPr>
        <w:tabs>
          <w:tab w:val="clear" w:pos="567"/>
          <w:tab w:val="left" w:pos="1134" w:leader="none"/>
        </w:tabs>
        <w:ind w:left="1134" w:hanging="1134"/>
        <w:rPr/>
      </w:pPr>
      <w:bookmarkStart w:id="334" w:name="_Ref524098469"/>
      <w:bookmarkStart w:id="335" w:name="_Ref55304418"/>
      <w:r>
        <w:rPr/>
        <w:t xml:space="preserve">В рамках рассмотрения Заявок </w:t>
      </w:r>
      <w:bookmarkEnd w:id="335"/>
      <w:r>
        <w:rPr/>
        <w:t>осуществляется проверка каждой Заявки на предмет соответствия отборочным критериям</w:t>
      </w:r>
      <w:bookmarkStart w:id="336" w:name="_Ref55304419"/>
      <w:r>
        <w:rPr/>
        <w:t xml:space="preserve">, установленным в Приложении </w:t>
        <w:br/>
        <w:t>№ 5 к Документации.</w:t>
      </w:r>
      <w:bookmarkEnd w:id="334"/>
    </w:p>
    <w:p>
      <w:pPr>
        <w:pStyle w:val="Style25"/>
        <w:numPr>
          <w:ilvl w:val="2"/>
          <w:numId w:val="3"/>
        </w:numPr>
        <w:tabs>
          <w:tab w:val="clear" w:pos="567"/>
          <w:tab w:val="left" w:pos="1134" w:leader="none"/>
        </w:tabs>
        <w:ind w:left="1134" w:hanging="1134"/>
        <w:rPr/>
      </w:pPr>
      <w:r>
        <w:rPr/>
        <w:t>Рассмотрение Заявок проводится Комиссией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pPr>
        <w:pStyle w:val="Style25"/>
        <w:numPr>
          <w:ilvl w:val="2"/>
          <w:numId w:val="3"/>
        </w:numPr>
        <w:tabs>
          <w:tab w:val="clear" w:pos="567"/>
          <w:tab w:val="left" w:pos="1134" w:leader="none"/>
        </w:tabs>
        <w:ind w:left="1134" w:hanging="1134"/>
        <w:rPr/>
      </w:pPr>
      <w:bookmarkStart w:id="337" w:name="_Ref55304422"/>
      <w:bookmarkEnd w:id="336"/>
      <w:bookmarkEnd w:id="337"/>
      <w:r>
        <w:rPr/>
        <w:t xml:space="preserve">Заявители / Участники не вправе каким-либо способом влиять, участвовать или присутствовать при рассмотрении Заявок, а также вступать в контакты с лицами, выполняющими рассмотрение и проверку Заявок. </w:t>
      </w:r>
    </w:p>
    <w:p>
      <w:pPr>
        <w:pStyle w:val="Style25"/>
        <w:numPr>
          <w:ilvl w:val="2"/>
          <w:numId w:val="3"/>
        </w:numPr>
        <w:tabs>
          <w:tab w:val="clear" w:pos="567"/>
          <w:tab w:val="left" w:pos="1134" w:leader="none"/>
        </w:tabs>
        <w:ind w:left="1134" w:hanging="1134"/>
        <w:rPr/>
      </w:pPr>
      <w:bookmarkStart w:id="338" w:name="_Ref481133127"/>
      <w:r>
        <w:rPr/>
        <w:t>По результатам рассмотрения Заявок Комиссия отклоняет несоответствующие Заявки по следующим основаниям:</w:t>
      </w:r>
      <w:bookmarkEnd w:id="338"/>
    </w:p>
    <w:p>
      <w:pPr>
        <w:pStyle w:val="Style27"/>
        <w:numPr>
          <w:ilvl w:val="4"/>
          <w:numId w:val="3"/>
        </w:numPr>
        <w:tabs>
          <w:tab w:val="clear" w:pos="567"/>
          <w:tab w:val="left" w:pos="1844" w:leader="none"/>
        </w:tabs>
        <w:ind w:left="1844" w:hanging="567"/>
        <w:rPr/>
      </w:pPr>
      <w:r>
        <w:rPr/>
        <w:t>несоответствие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pPr>
        <w:pStyle w:val="Style27"/>
        <w:numPr>
          <w:ilvl w:val="4"/>
          <w:numId w:val="3"/>
        </w:numPr>
        <w:tabs>
          <w:tab w:val="clear" w:pos="567"/>
          <w:tab w:val="left" w:pos="1844" w:leader="none"/>
        </w:tabs>
        <w:ind w:left="1844" w:hanging="567"/>
        <w:rPr/>
      </w:pPr>
      <w:r>
        <w:rPr/>
        <w:t>несоответствие Заявителя требованиям Документации;</w:t>
      </w:r>
    </w:p>
    <w:p>
      <w:pPr>
        <w:pStyle w:val="Style27"/>
        <w:numPr>
          <w:ilvl w:val="4"/>
          <w:numId w:val="3"/>
        </w:numPr>
        <w:tabs>
          <w:tab w:val="clear" w:pos="567"/>
          <w:tab w:val="left" w:pos="1844" w:leader="none"/>
        </w:tabs>
        <w:ind w:left="1844" w:hanging="567"/>
        <w:rPr/>
      </w:pPr>
      <w:r>
        <w:rPr/>
        <w:t>несоответствие предлагаемых договорных условий, включая цену предложения, требованиям Документации;</w:t>
      </w:r>
    </w:p>
    <w:p>
      <w:pPr>
        <w:pStyle w:val="Style27"/>
        <w:numPr>
          <w:ilvl w:val="4"/>
          <w:numId w:val="3"/>
        </w:numPr>
        <w:tabs>
          <w:tab w:val="clear" w:pos="567"/>
          <w:tab w:val="left" w:pos="1844" w:leader="none"/>
        </w:tabs>
        <w:ind w:left="1844" w:hanging="567"/>
        <w:rPr/>
      </w:pPr>
      <w:r>
        <w:rPr/>
        <w:t>несоответствие размера, формы, условий и порядка предоставления задатка.</w:t>
      </w:r>
    </w:p>
    <w:p>
      <w:pPr>
        <w:pStyle w:val="Style25"/>
        <w:numPr>
          <w:ilvl w:val="2"/>
          <w:numId w:val="3"/>
        </w:numPr>
        <w:tabs>
          <w:tab w:val="clear" w:pos="567"/>
          <w:tab w:val="left" w:pos="1134" w:leader="none"/>
        </w:tabs>
        <w:ind w:left="1134" w:hanging="1134"/>
        <w:rPr/>
      </w:pPr>
      <w:r>
        <w:rPr/>
        <w:t>В ходе рассмотрения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ошибок в документах, представленных в составе Заявки.</w:t>
      </w:r>
    </w:p>
    <w:p>
      <w:pPr>
        <w:pStyle w:val="Style25"/>
        <w:numPr>
          <w:ilvl w:val="2"/>
          <w:numId w:val="3"/>
        </w:numPr>
        <w:tabs>
          <w:tab w:val="clear" w:pos="567"/>
          <w:tab w:val="left" w:pos="1134" w:leader="none"/>
        </w:tabs>
        <w:ind w:left="1134" w:hanging="1134"/>
        <w:rPr/>
      </w:pPr>
      <w:r>
        <w:rPr/>
        <w:t>При уточнении Заявок не допускается создание преимущественных условий одному или нескольким Заявителям / Участникам.</w:t>
      </w:r>
    </w:p>
    <w:p>
      <w:pPr>
        <w:pStyle w:val="Style25"/>
        <w:numPr>
          <w:ilvl w:val="2"/>
          <w:numId w:val="3"/>
        </w:numPr>
        <w:tabs>
          <w:tab w:val="clear" w:pos="567"/>
          <w:tab w:val="left" w:pos="1134" w:leader="none"/>
        </w:tabs>
        <w:ind w:left="1134" w:hanging="1134"/>
        <w:rPr/>
      </w:pPr>
      <w:bookmarkStart w:id="339" w:name="_Ref524098482"/>
      <w:r>
        <w:rPr/>
        <w:t>При наличии сомнений в достоверности копии документа Комиссия вправе запросить для изучения подлинник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39"/>
    </w:p>
    <w:p>
      <w:pPr>
        <w:pStyle w:val="Style25"/>
        <w:numPr>
          <w:ilvl w:val="2"/>
          <w:numId w:val="3"/>
        </w:numPr>
        <w:tabs>
          <w:tab w:val="clear" w:pos="567"/>
          <w:tab w:val="left" w:pos="1134" w:leader="none"/>
        </w:tabs>
        <w:ind w:left="1134" w:hanging="1134"/>
        <w:rPr/>
      </w:pPr>
      <w:bookmarkStart w:id="340" w:name="_Ref49335466"/>
      <w:r>
        <w:rPr/>
        <w:t>Решение Комиссии по рассмотрению Заявок оформляется протоколом, в котором, как минимум, указываются:</w:t>
      </w:r>
      <w:bookmarkEnd w:id="340"/>
    </w:p>
    <w:p>
      <w:pPr>
        <w:pStyle w:val="Style27"/>
        <w:numPr>
          <w:ilvl w:val="4"/>
          <w:numId w:val="3"/>
        </w:numPr>
        <w:tabs>
          <w:tab w:val="clear" w:pos="567"/>
          <w:tab w:val="left" w:pos="1844" w:leader="none"/>
        </w:tabs>
        <w:ind w:left="1844" w:hanging="567"/>
        <w:rPr/>
      </w:pPr>
      <w:r>
        <w:rPr/>
        <w:t>дата и место составления протокола;</w:t>
      </w:r>
    </w:p>
    <w:p>
      <w:pPr>
        <w:pStyle w:val="Style27"/>
        <w:numPr>
          <w:ilvl w:val="4"/>
          <w:numId w:val="3"/>
        </w:numPr>
        <w:tabs>
          <w:tab w:val="clear" w:pos="567"/>
          <w:tab w:val="left" w:pos="1844" w:leader="none"/>
        </w:tabs>
        <w:ind w:left="1844" w:hanging="567"/>
        <w:rPr/>
      </w:pPr>
      <w:r>
        <w:rPr/>
        <w:t>общее количество поступивших Заявок, перечень поступивших Заявок с идентификационными номерами Заявителей, присвоенными Оператором ЭТП, а также дата и время регистрации каждой Заявки (с учетом последнего изменения Заявки Заявителем);</w:t>
      </w:r>
    </w:p>
    <w:p>
      <w:pPr>
        <w:pStyle w:val="Style27"/>
        <w:numPr>
          <w:ilvl w:val="4"/>
          <w:numId w:val="3"/>
        </w:numPr>
        <w:tabs>
          <w:tab w:val="clear" w:pos="567"/>
          <w:tab w:val="left" w:pos="1844" w:leader="none"/>
        </w:tabs>
        <w:ind w:left="1844" w:hanging="567"/>
        <w:rPr/>
      </w:pPr>
      <w:r>
        <w:rPr/>
        <w:t>результаты рассмотрения Заявок с указанием:</w:t>
      </w:r>
    </w:p>
    <w:p>
      <w:pPr>
        <w:pStyle w:val="Style27"/>
        <w:numPr>
          <w:ilvl w:val="0"/>
          <w:numId w:val="9"/>
        </w:numPr>
        <w:ind w:left="2127" w:hanging="284"/>
        <w:rPr/>
      </w:pPr>
      <w:r>
        <w:rPr/>
        <w:t>количества Заявок, которые были отклонены;</w:t>
      </w:r>
    </w:p>
    <w:p>
      <w:pPr>
        <w:pStyle w:val="Style27"/>
        <w:numPr>
          <w:ilvl w:val="0"/>
          <w:numId w:val="9"/>
        </w:numPr>
        <w:ind w:left="2127" w:hanging="284"/>
        <w:rPr/>
      </w:pPr>
      <w:r>
        <w:rPr/>
        <w:t>оснований отклонения каждой Заявки с указанием положений Документации, которым не соответствует такая Заявка;</w:t>
      </w:r>
    </w:p>
    <w:p>
      <w:pPr>
        <w:pStyle w:val="Style27"/>
        <w:numPr>
          <w:ilvl w:val="4"/>
          <w:numId w:val="3"/>
        </w:numPr>
        <w:tabs>
          <w:tab w:val="clear" w:pos="567"/>
          <w:tab w:val="left" w:pos="1844" w:leader="none"/>
        </w:tabs>
        <w:ind w:left="1844" w:hanging="567"/>
        <w:rPr/>
      </w:pPr>
      <w:r>
        <w:rPr/>
        <w:t xml:space="preserve">обстоятельства, по которым Аукцион признан несостоявшимся в соответствии с подразделом </w:t>
      </w:r>
      <w:r>
        <w:rPr/>
        <w:fldChar w:fldCharType="begin"/>
      </w:r>
      <w:r>
        <w:rPr/>
        <w:instrText xml:space="preserve"> REF _Ref514600896 \r \h </w:instrText>
      </w:r>
      <w:r>
        <w:rPr/>
        <w:fldChar w:fldCharType="separate"/>
      </w:r>
      <w:r>
        <w:rPr/>
        <w:t>5.12</w:t>
      </w:r>
      <w:r>
        <w:rPr/>
        <w:fldChar w:fldCharType="end"/>
      </w:r>
      <w:r>
        <w:rPr/>
        <w:t xml:space="preserve"> (в случае его признания таковым).</w:t>
      </w:r>
    </w:p>
    <w:p>
      <w:pPr>
        <w:pStyle w:val="Style26"/>
        <w:numPr>
          <w:ilvl w:val="0"/>
          <w:numId w:val="0"/>
        </w:numPr>
        <w:ind w:left="1134" w:hanging="0"/>
        <w:rPr/>
      </w:pPr>
      <w:r>
        <w:rPr/>
        <w:t xml:space="preserve">Протокол размещается Организатором на ЭТП в течение 3 (трех) рабочих дней с даты его составления, но до даты проведения Аукциона, установленной пунктом </w:t>
      </w:r>
      <w:r>
        <w:rPr/>
        <w:fldChar w:fldCharType="begin"/>
      </w:r>
      <w:r>
        <w:rPr/>
        <w:instrText xml:space="preserve"> REF _Ref516229879 \r \h </w:instrText>
      </w:r>
      <w:r>
        <w:rPr/>
        <w:fldChar w:fldCharType="separate"/>
      </w:r>
      <w:r>
        <w:rPr/>
        <w:t>1.2.17</w:t>
      </w:r>
      <w:r>
        <w:rPr/>
        <w:fldChar w:fldCharType="end"/>
      </w:r>
      <w:r>
        <w:rPr/>
        <w:t>.</w:t>
      </w:r>
    </w:p>
    <w:p>
      <w:pPr>
        <w:pStyle w:val="Style25"/>
        <w:numPr>
          <w:ilvl w:val="2"/>
          <w:numId w:val="3"/>
        </w:numPr>
        <w:tabs>
          <w:tab w:val="clear" w:pos="567"/>
          <w:tab w:val="left" w:pos="1134" w:leader="none"/>
        </w:tabs>
        <w:ind w:left="1134" w:hanging="1134"/>
        <w:rPr/>
      </w:pPr>
      <w:r>
        <w:rPr/>
        <w:t>При проведении Аукциона Заявитель, подавший Заявку, и допущенный к участию в Аукционе, становится Участником с момента размещения протокола рассмотрения Заявок на участие в Аукционе на ЭТП.</w:t>
      </w:r>
    </w:p>
    <w:p>
      <w:pPr>
        <w:pStyle w:val="Heading2"/>
        <w:numPr>
          <w:ilvl w:val="1"/>
          <w:numId w:val="3"/>
        </w:numPr>
        <w:ind w:left="1134" w:hanging="1134"/>
        <w:rPr>
          <w:sz w:val="26"/>
        </w:rPr>
      </w:pPr>
      <w:bookmarkStart w:id="341" w:name="_Toc187829918"/>
      <w:bookmarkStart w:id="342" w:name="_Ref516966065"/>
      <w:bookmarkStart w:id="343" w:name="_Ref324337341"/>
      <w:bookmarkStart w:id="344" w:name="_Toc525302899"/>
      <w:bookmarkStart w:id="345" w:name="_Toc525302898"/>
      <w:bookmarkEnd w:id="343"/>
      <w:bookmarkEnd w:id="344"/>
      <w:bookmarkEnd w:id="345"/>
      <w:r>
        <w:rPr>
          <w:sz w:val="26"/>
        </w:rPr>
        <w:t>Проведение Аукциона</w:t>
      </w:r>
      <w:bookmarkEnd w:id="341"/>
      <w:bookmarkEnd w:id="342"/>
    </w:p>
    <w:p>
      <w:pPr>
        <w:pStyle w:val="Style25"/>
        <w:numPr>
          <w:ilvl w:val="2"/>
          <w:numId w:val="3"/>
        </w:numPr>
        <w:tabs>
          <w:tab w:val="clear" w:pos="567"/>
          <w:tab w:val="left" w:pos="1134" w:leader="none"/>
        </w:tabs>
        <w:ind w:left="1134" w:hanging="1134"/>
        <w:rPr/>
      </w:pPr>
      <w:r>
        <w:rPr/>
        <w:t xml:space="preserve">Процедура Аукциона проводится в дату и время, указанные в пункте </w:t>
      </w:r>
      <w:r>
        <w:rPr/>
        <w:fldChar w:fldCharType="begin"/>
      </w:r>
      <w:r>
        <w:rPr/>
        <w:instrText xml:space="preserve"> REF _Ref516229879 \r \h </w:instrText>
      </w:r>
      <w:r>
        <w:rPr/>
        <w:fldChar w:fldCharType="separate"/>
      </w:r>
      <w:r>
        <w:rPr/>
        <w:t>1.2.17</w:t>
      </w:r>
      <w:r>
        <w:rPr/>
        <w:fldChar w:fldCharType="end"/>
      </w:r>
      <w:r>
        <w:rPr/>
        <w:t>. Организатор (по согласованию с Продавцом, если последний не является одновременно Организатором) вправе, при необходимости, изменить указанные дату и время, официально разместив информацию об этом на ЭТП.</w:t>
      </w:r>
    </w:p>
    <w:p>
      <w:pPr>
        <w:pStyle w:val="Style25"/>
        <w:numPr>
          <w:ilvl w:val="2"/>
          <w:numId w:val="3"/>
        </w:numPr>
        <w:tabs>
          <w:tab w:val="clear" w:pos="567"/>
          <w:tab w:val="left" w:pos="1134" w:leader="none"/>
        </w:tabs>
        <w:ind w:left="1134" w:hanging="1134"/>
        <w:rPr/>
      </w:pPr>
      <w:r>
        <w:rPr/>
        <w:t>В Аукционе могут участвовать только Участники, Заявки которых не были отклонены по результатам рассмотрения Заявок.</w:t>
      </w:r>
    </w:p>
    <w:p>
      <w:pPr>
        <w:pStyle w:val="Style25"/>
        <w:numPr>
          <w:ilvl w:val="2"/>
          <w:numId w:val="3"/>
        </w:numPr>
        <w:tabs>
          <w:tab w:val="clear" w:pos="567"/>
          <w:tab w:val="left" w:pos="1134" w:leader="none"/>
        </w:tabs>
        <w:ind w:left="1134" w:hanging="1134"/>
        <w:rPr/>
      </w:pPr>
      <w:r>
        <w:rPr/>
        <w:t>Участники подают свои ценовые предложения анонимно для других Участников под присвоенными им Оператором ЭТП идентификационными номерами.</w:t>
      </w:r>
    </w:p>
    <w:p>
      <w:pPr>
        <w:pStyle w:val="Style25"/>
        <w:numPr>
          <w:ilvl w:val="2"/>
          <w:numId w:val="3"/>
        </w:numPr>
        <w:tabs>
          <w:tab w:val="clear" w:pos="567"/>
          <w:tab w:val="left" w:pos="1134" w:leader="none"/>
        </w:tabs>
        <w:ind w:left="1134" w:hanging="1134"/>
        <w:rPr/>
      </w:pPr>
      <w:r>
        <w:rPr/>
        <w:t>При проведении Аукциона устанавливается время приема ценовых предложений Участников, составляющее 30 (тридцать) минут от времени начала проведения Аукциона до окончания Аукциона. Если в течение указанного времени, а также 10 (десяти) минут после поступления последней ценовой ставки ни одной более высокой ценовой ставки не поступило, Аукцион автоматически завершается с помощью программных и технических средств ЭТП.</w:t>
      </w:r>
    </w:p>
    <w:p>
      <w:pPr>
        <w:pStyle w:val="Style25"/>
        <w:numPr>
          <w:ilvl w:val="2"/>
          <w:numId w:val="3"/>
        </w:numPr>
        <w:tabs>
          <w:tab w:val="clear" w:pos="567"/>
          <w:tab w:val="left" w:pos="1134" w:leader="none"/>
        </w:tabs>
        <w:ind w:left="1134" w:hanging="1134"/>
        <w:rPr/>
      </w:pPr>
      <w:r>
        <w:rPr/>
        <w:t xml:space="preserve">Аукцион проводится путем повышения Участниками начальной цены продажи, указанной в пункте </w:t>
      </w:r>
      <w:r>
        <w:rPr/>
        <w:fldChar w:fldCharType="begin"/>
      </w:r>
      <w:r>
        <w:rPr/>
        <w:instrText xml:space="preserve"> REF _Ref384116250 \r \h </w:instrText>
      </w:r>
      <w:r>
        <w:rPr/>
        <w:fldChar w:fldCharType="separate"/>
      </w:r>
      <w:r>
        <w:rPr/>
        <w:t>1.2.9</w:t>
      </w:r>
      <w:r>
        <w:rPr/>
        <w:fldChar w:fldCharType="end"/>
      </w:r>
      <w:r>
        <w:rPr/>
        <w:t xml:space="preserve">, а затем текущей максимальной ценовой ставки – на шаг Аукциона, установленный в пункте </w:t>
      </w:r>
      <w:r>
        <w:rPr/>
        <w:fldChar w:fldCharType="begin"/>
      </w:r>
      <w:r>
        <w:rPr/>
        <w:instrText xml:space="preserve"> REF _Ref516229843 \r \h </w:instrText>
      </w:r>
      <w:r>
        <w:rPr/>
        <w:fldChar w:fldCharType="separate"/>
      </w:r>
      <w:r>
        <w:rPr/>
        <w:t>1.2.10</w:t>
      </w:r>
      <w:r>
        <w:rPr/>
        <w:fldChar w:fldCharType="end"/>
      </w:r>
      <w:r>
        <w:rPr/>
        <w:t>.</w:t>
      </w:r>
    </w:p>
    <w:p>
      <w:pPr>
        <w:pStyle w:val="Style25"/>
        <w:numPr>
          <w:ilvl w:val="2"/>
          <w:numId w:val="3"/>
        </w:numPr>
        <w:tabs>
          <w:tab w:val="clear" w:pos="567"/>
          <w:tab w:val="left" w:pos="1134" w:leader="none"/>
        </w:tabs>
        <w:ind w:left="1134" w:hanging="1134"/>
        <w:rPr/>
      </w:pPr>
      <w:r>
        <w:rPr/>
        <w:t>Процедура Аукциона проводится однократно, при этом в ходе Аукциона Участники вправе неоднократно предлагать повышение цены своей Заявки до момента окончания Аукциона, за исключением случая, когда предыдущая ценовая ставка была сделана этим же Участником.</w:t>
      </w:r>
      <w:r>
        <w:rPr>
          <w:sz w:val="28"/>
          <w:szCs w:val="20"/>
        </w:rPr>
        <w:t xml:space="preserve"> </w:t>
      </w:r>
    </w:p>
    <w:p>
      <w:pPr>
        <w:pStyle w:val="Style25"/>
        <w:numPr>
          <w:ilvl w:val="2"/>
          <w:numId w:val="3"/>
        </w:numPr>
        <w:tabs>
          <w:tab w:val="clear" w:pos="567"/>
          <w:tab w:val="left" w:pos="1134" w:leader="none"/>
        </w:tabs>
        <w:ind w:left="1134" w:hanging="1134"/>
        <w:rPr/>
      </w:pPr>
      <w:r>
        <w:rPr/>
        <w:t xml:space="preserve">Каждая новая ценовая ставка Участника должна быть больше предыдущей и больше цены, указанной им в Заявке, а также не должна равняться нулю. </w:t>
      </w:r>
    </w:p>
    <w:p>
      <w:pPr>
        <w:pStyle w:val="Style25"/>
        <w:numPr>
          <w:ilvl w:val="2"/>
          <w:numId w:val="3"/>
        </w:numPr>
        <w:tabs>
          <w:tab w:val="clear" w:pos="567"/>
          <w:tab w:val="left" w:pos="1134" w:leader="none"/>
        </w:tabs>
        <w:ind w:left="1134" w:hanging="1134"/>
        <w:rPr/>
      </w:pPr>
      <w:bookmarkStart w:id="346" w:name="_Ref524953969"/>
      <w:r>
        <w:rPr/>
        <w:t>Результаты Аукциона оформляются Оператором ЭТП в виде протокола, который официально размещается на ЭТП Оператором ЭТП в течение 1 (одного) часа с момента завершения Аукциона в день проведения Аукциона.</w:t>
      </w:r>
      <w:bookmarkEnd w:id="346"/>
      <w:r>
        <w:rPr/>
        <w:t xml:space="preserve"> </w:t>
      </w:r>
    </w:p>
    <w:p>
      <w:pPr>
        <w:pStyle w:val="Style25"/>
        <w:numPr>
          <w:ilvl w:val="0"/>
          <w:numId w:val="0"/>
        </w:numPr>
        <w:ind w:left="1134" w:hanging="0"/>
        <w:rPr/>
      </w:pPr>
      <w:r>
        <w:rPr/>
        <w:t>Оператор ЭТП обеспечивает непрерывность проведения Аукциона, надежность функционирования используемых программных и технических средств, равный доступ Участников к участию в нем, а также выполнение предусмотренного Регламентом ЭТП порядка на протяжении всего срока проведения Аукциона.</w:t>
      </w:r>
    </w:p>
    <w:p>
      <w:pPr>
        <w:pStyle w:val="Style25"/>
        <w:numPr>
          <w:ilvl w:val="2"/>
          <w:numId w:val="3"/>
        </w:numPr>
        <w:tabs>
          <w:tab w:val="clear" w:pos="567"/>
          <w:tab w:val="left" w:pos="1134" w:leader="none"/>
        </w:tabs>
        <w:ind w:left="1134" w:hanging="1134"/>
        <w:rPr/>
      </w:pPr>
      <w:r>
        <w:rPr/>
        <w:t xml:space="preserve">Участник считается надлежаще уведомленным о результатах Аукциона с момента размещения протокола, указанного в пункте </w:t>
      </w:r>
      <w:r>
        <w:rPr/>
        <w:fldChar w:fldCharType="begin"/>
      </w:r>
      <w:r>
        <w:rPr/>
        <w:instrText xml:space="preserve"> REF _Ref524953969 \r \h </w:instrText>
      </w:r>
      <w:r>
        <w:rPr/>
        <w:fldChar w:fldCharType="separate"/>
      </w:r>
      <w:r>
        <w:rPr/>
        <w:t>5.10.8</w:t>
      </w:r>
      <w:r>
        <w:rPr/>
        <w:fldChar w:fldCharType="end"/>
      </w:r>
      <w:r>
        <w:rPr/>
        <w:t>.</w:t>
      </w:r>
    </w:p>
    <w:p>
      <w:pPr>
        <w:pStyle w:val="Heading2"/>
        <w:numPr>
          <w:ilvl w:val="1"/>
          <w:numId w:val="3"/>
        </w:numPr>
        <w:ind w:left="1134" w:hanging="1134"/>
        <w:rPr>
          <w:sz w:val="26"/>
        </w:rPr>
      </w:pPr>
      <w:bookmarkStart w:id="347" w:name="_Toc187829919"/>
      <w:bookmarkStart w:id="348" w:name="_Ref536798166"/>
      <w:bookmarkStart w:id="349" w:name="_Toc525302904"/>
      <w:bookmarkStart w:id="350" w:name="_Toc502257177"/>
      <w:bookmarkStart w:id="351" w:name="_Toc525302903"/>
      <w:bookmarkStart w:id="352" w:name="_Toc525302905"/>
      <w:bookmarkStart w:id="353" w:name="_Toc525302915"/>
      <w:bookmarkStart w:id="354" w:name="_Toc502257176"/>
      <w:bookmarkStart w:id="355" w:name="_Toc501038077"/>
      <w:bookmarkStart w:id="356" w:name="_Toc525302901"/>
      <w:bookmarkStart w:id="357" w:name="_Toc501038075"/>
      <w:bookmarkStart w:id="358" w:name="_Toc501038076"/>
      <w:bookmarkStart w:id="359" w:name="_Toc502257175"/>
      <w:bookmarkStart w:id="360" w:name="_Toc501038074"/>
      <w:bookmarkStart w:id="361" w:name="_Toc502257174"/>
      <w:bookmarkStart w:id="362" w:name="_Ref324337341_Копия_1"/>
      <w:bookmarkStart w:id="363" w:name="_Ref55304422_Копия_1"/>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sz w:val="26"/>
        </w:rPr>
        <w:t>Оформление результатов Аукциона</w:t>
      </w:r>
      <w:bookmarkEnd w:id="347"/>
      <w:bookmarkEnd w:id="348"/>
    </w:p>
    <w:p>
      <w:pPr>
        <w:pStyle w:val="Style25"/>
        <w:numPr>
          <w:ilvl w:val="2"/>
          <w:numId w:val="3"/>
        </w:numPr>
        <w:tabs>
          <w:tab w:val="clear" w:pos="567"/>
          <w:tab w:val="left" w:pos="1418" w:leader="none"/>
        </w:tabs>
        <w:ind w:left="1418" w:hanging="1560"/>
        <w:rPr/>
      </w:pPr>
      <w:bookmarkStart w:id="364" w:name="_Ref536798162"/>
      <w:r>
        <w:rPr/>
        <w:t xml:space="preserve">Результаты Аукциона оформляются протоколом о результатах Аукциона, который подписывается Продавцом в день подведения итогов Аукциона, установленный в пункте </w:t>
      </w:r>
      <w:r>
        <w:rPr/>
        <w:fldChar w:fldCharType="begin"/>
      </w:r>
      <w:r>
        <w:rPr/>
        <w:instrText xml:space="preserve"> REF _Ref536798161 \r \h </w:instrText>
      </w:r>
      <w:r>
        <w:rPr/>
        <w:fldChar w:fldCharType="separate"/>
      </w:r>
      <w:r>
        <w:rPr/>
        <w:t>1.2.18</w:t>
      </w:r>
      <w:r>
        <w:rPr/>
        <w:fldChar w:fldCharType="end"/>
      </w:r>
      <w:r>
        <w:rPr/>
        <w:t>. Цена Договора, предложенная победителем Аукциона, заносится в протокол о результатах Аукциона, который составляется в 4 (четырех) экземплярах, один из которых передается победителю Аукциона. В соответствии с пунктом 6 статьи 448 ГК РФ подписанный протокол о результатах Аукциона имеет силу договора. В случае подписания протокола о результатах Аукциона по доверенности, такая доверенность (оригинал или заверенная копия) должна прилагаться к протоколу.</w:t>
      </w:r>
      <w:bookmarkEnd w:id="364"/>
    </w:p>
    <w:p>
      <w:pPr>
        <w:pStyle w:val="Style25"/>
        <w:numPr>
          <w:ilvl w:val="2"/>
          <w:numId w:val="3"/>
        </w:numPr>
        <w:tabs>
          <w:tab w:val="clear" w:pos="567"/>
          <w:tab w:val="left" w:pos="1418" w:leader="none"/>
        </w:tabs>
        <w:ind w:left="1418" w:hanging="1560"/>
        <w:rPr/>
      </w:pPr>
      <w:r>
        <w:rPr/>
        <w:t>Протокол о результатах Аукциона размещается на ЭТП в течение 1 (одного) рабочего дня после его подписания Продавцом.</w:t>
      </w:r>
    </w:p>
    <w:p>
      <w:pPr>
        <w:pStyle w:val="Style25"/>
        <w:numPr>
          <w:ilvl w:val="2"/>
          <w:numId w:val="3"/>
        </w:numPr>
        <w:tabs>
          <w:tab w:val="clear" w:pos="567"/>
          <w:tab w:val="left" w:pos="1418" w:leader="none"/>
        </w:tabs>
        <w:ind w:left="1418" w:hanging="1560"/>
        <w:rPr/>
      </w:pPr>
      <w:bookmarkStart w:id="365" w:name="_Ref524100091"/>
      <w:r>
        <w:rPr/>
        <w:t xml:space="preserve">Аукцион считается завершенным с момента размещения на ЭТП протокола о результатах Аукциона либо протокола, указанного в пункте </w:t>
      </w:r>
      <w:r>
        <w:rPr/>
        <w:fldChar w:fldCharType="begin"/>
      </w:r>
      <w:r>
        <w:rPr/>
        <w:instrText xml:space="preserve"> REF _Ref49335466 \r \h </w:instrText>
      </w:r>
      <w:r>
        <w:rPr/>
        <w:fldChar w:fldCharType="separate"/>
      </w:r>
      <w:r>
        <w:rPr/>
        <w:t>5.9.9</w:t>
      </w:r>
      <w:r>
        <w:rPr/>
        <w:fldChar w:fldCharType="end"/>
      </w:r>
      <w:r>
        <w:rPr/>
        <w:t>.</w:t>
      </w:r>
      <w:bookmarkEnd w:id="365"/>
    </w:p>
    <w:p>
      <w:pPr>
        <w:pStyle w:val="Style25"/>
        <w:numPr>
          <w:ilvl w:val="2"/>
          <w:numId w:val="3"/>
        </w:numPr>
        <w:tabs>
          <w:tab w:val="clear" w:pos="567"/>
          <w:tab w:val="left" w:pos="1418" w:leader="none"/>
        </w:tabs>
        <w:ind w:left="1418" w:hanging="1560"/>
        <w:rPr/>
      </w:pPr>
      <w:r>
        <w:rPr/>
        <w:t xml:space="preserve">Участник считается надлежаще уведомленным о возникновении права заключения Договора, а также иных решениях Организатора, Комиссии с момента размещения на ЭТП любого из протоколов, указанных в пункте </w:t>
      </w:r>
      <w:r>
        <w:rPr/>
        <w:fldChar w:fldCharType="begin"/>
      </w:r>
      <w:r>
        <w:rPr/>
        <w:instrText xml:space="preserve"> REF _Ref524100091 \r \h </w:instrText>
      </w:r>
      <w:r>
        <w:rPr/>
        <w:fldChar w:fldCharType="separate"/>
      </w:r>
      <w:r>
        <w:rPr/>
        <w:t>5.11.3</w:t>
      </w:r>
      <w:r>
        <w:rPr/>
        <w:fldChar w:fldCharType="end"/>
      </w:r>
      <w:r>
        <w:rPr/>
        <w:t>.</w:t>
      </w:r>
    </w:p>
    <w:p>
      <w:pPr>
        <w:pStyle w:val="Style25"/>
        <w:numPr>
          <w:ilvl w:val="2"/>
          <w:numId w:val="3"/>
        </w:numPr>
        <w:tabs>
          <w:tab w:val="clear" w:pos="567"/>
          <w:tab w:val="left" w:pos="1418" w:leader="none"/>
        </w:tabs>
        <w:ind w:left="1418" w:hanging="1560"/>
        <w:rPr/>
      </w:pPr>
      <w:r>
        <w:rPr/>
        <w:t>Если между официальным размещением протокола о результатах Аукциона и подписанием договора изменится победитель Аукциона, информация о новом победителе Аукциона официально размещается Организатором на ЭТП в той же форме и порядке, какие предусмотрены для протокола о результатах Аукциона.</w:t>
      </w:r>
    </w:p>
    <w:p>
      <w:pPr>
        <w:pStyle w:val="Heading2"/>
        <w:numPr>
          <w:ilvl w:val="1"/>
          <w:numId w:val="3"/>
        </w:numPr>
        <w:ind w:left="1134" w:hanging="1134"/>
        <w:rPr>
          <w:sz w:val="26"/>
        </w:rPr>
      </w:pPr>
      <w:bookmarkStart w:id="366" w:name="_Toc187829920"/>
      <w:bookmarkStart w:id="367" w:name="_Ref514600896"/>
      <w:bookmarkStart w:id="368" w:name="_Toc197150411"/>
      <w:bookmarkStart w:id="369" w:name="_Toc197149942"/>
      <w:bookmarkEnd w:id="368"/>
      <w:bookmarkEnd w:id="369"/>
      <w:r>
        <w:rPr>
          <w:sz w:val="26"/>
        </w:rPr>
        <w:t>Признание Аукциона несостоявшимся</w:t>
      </w:r>
      <w:bookmarkEnd w:id="366"/>
      <w:bookmarkEnd w:id="367"/>
    </w:p>
    <w:p>
      <w:pPr>
        <w:pStyle w:val="Style25"/>
        <w:numPr>
          <w:ilvl w:val="2"/>
          <w:numId w:val="3"/>
        </w:numPr>
        <w:tabs>
          <w:tab w:val="clear" w:pos="567"/>
          <w:tab w:val="left" w:pos="1418" w:leader="none"/>
        </w:tabs>
        <w:ind w:left="1418" w:hanging="1560"/>
        <w:rPr/>
      </w:pPr>
      <w:bookmarkStart w:id="370" w:name="_Ref49335248"/>
      <w:r>
        <w:rPr/>
        <w:t>Аукцион признается несостоявшимся в следующих случаях:</w:t>
      </w:r>
      <w:bookmarkEnd w:id="370"/>
    </w:p>
    <w:p>
      <w:pPr>
        <w:pStyle w:val="Style27"/>
        <w:numPr>
          <w:ilvl w:val="4"/>
          <w:numId w:val="3"/>
        </w:numPr>
        <w:tabs>
          <w:tab w:val="clear" w:pos="567"/>
          <w:tab w:val="left" w:pos="1844" w:leader="none"/>
        </w:tabs>
        <w:ind w:left="1844" w:hanging="567"/>
        <w:rPr/>
      </w:pPr>
      <w:bookmarkStart w:id="371" w:name="_Ref49335202"/>
      <w:r>
        <w:rPr/>
        <w:t xml:space="preserve">если </w:t>
      </w:r>
      <w:bookmarkStart w:id="372" w:name="_Hlk515655050"/>
      <w:r>
        <w:rPr/>
        <w:t xml:space="preserve">по окончании срока подачи Заявок (пункт </w:t>
      </w:r>
      <w:r>
        <w:rPr/>
        <w:fldChar w:fldCharType="begin"/>
      </w:r>
      <w:r>
        <w:rPr/>
        <w:instrText xml:space="preserve"> REF _Ref389823218 \r \h </w:instrText>
      </w:r>
      <w:r>
        <w:rPr/>
        <w:fldChar w:fldCharType="separate"/>
      </w:r>
      <w:r>
        <w:rPr/>
        <w:t>1.2.15</w:t>
      </w:r>
      <w:r>
        <w:rPr/>
        <w:fldChar w:fldCharType="end"/>
      </w:r>
      <w:r>
        <w:rPr/>
        <w:t xml:space="preserve">) поступило менее 2 (двух) Заявок </w:t>
      </w:r>
      <w:bookmarkEnd w:id="372"/>
      <w:r>
        <w:rPr/>
        <w:t>(с учетом отзывов Заявок);</w:t>
      </w:r>
      <w:bookmarkEnd w:id="371"/>
    </w:p>
    <w:p>
      <w:pPr>
        <w:pStyle w:val="Style27"/>
        <w:numPr>
          <w:ilvl w:val="4"/>
          <w:numId w:val="3"/>
        </w:numPr>
        <w:tabs>
          <w:tab w:val="clear" w:pos="567"/>
          <w:tab w:val="left" w:pos="1844" w:leader="none"/>
        </w:tabs>
        <w:ind w:left="1844" w:hanging="567"/>
        <w:rPr/>
      </w:pPr>
      <w:bookmarkStart w:id="373" w:name="_Hlk515655102"/>
      <w:r>
        <w:rPr/>
        <w:t xml:space="preserve">по результатам рассмотрения Заявок (подраздел </w:t>
      </w:r>
      <w:r>
        <w:rPr/>
        <w:fldChar w:fldCharType="begin"/>
      </w:r>
      <w:r>
        <w:rPr/>
        <w:instrText xml:space="preserve"> REF _Ref514620397 \r \h </w:instrText>
      </w:r>
      <w:r>
        <w:rPr/>
        <w:fldChar w:fldCharType="separate"/>
      </w:r>
      <w:r>
        <w:rPr/>
        <w:t>5.9</w:t>
      </w:r>
      <w:r>
        <w:rPr/>
        <w:fldChar w:fldCharType="end"/>
      </w:r>
      <w:r>
        <w:rPr/>
        <w:t>) Комиссией принято решение о признании менее 2 (двух) Заявок соответствующими требованиям Документации</w:t>
      </w:r>
      <w:bookmarkEnd w:id="373"/>
      <w:r>
        <w:rPr/>
        <w:t>;</w:t>
      </w:r>
    </w:p>
    <w:p>
      <w:pPr>
        <w:pStyle w:val="Style27"/>
        <w:numPr>
          <w:ilvl w:val="4"/>
          <w:numId w:val="3"/>
        </w:numPr>
        <w:tabs>
          <w:tab w:val="clear" w:pos="567"/>
          <w:tab w:val="left" w:pos="1844" w:leader="none"/>
        </w:tabs>
        <w:ind w:left="1844" w:hanging="567"/>
        <w:rPr/>
      </w:pPr>
      <w:r>
        <w:rPr/>
        <w:t>ни один из Участников не подал предложение о цене Договора;</w:t>
      </w:r>
    </w:p>
    <w:p>
      <w:pPr>
        <w:pStyle w:val="Style27"/>
        <w:numPr>
          <w:ilvl w:val="4"/>
          <w:numId w:val="3"/>
        </w:numPr>
        <w:tabs>
          <w:tab w:val="clear" w:pos="567"/>
          <w:tab w:val="left" w:pos="1844" w:leader="none"/>
        </w:tabs>
        <w:ind w:left="1844" w:hanging="567"/>
        <w:rPr/>
      </w:pPr>
      <w:r>
        <w:rPr/>
        <w:t>победитель Аукциона уклонился / отказался от подписания Договора.</w:t>
      </w:r>
    </w:p>
    <w:p>
      <w:pPr>
        <w:pStyle w:val="Style25"/>
        <w:numPr>
          <w:ilvl w:val="2"/>
          <w:numId w:val="3"/>
        </w:numPr>
        <w:tabs>
          <w:tab w:val="clear" w:pos="567"/>
          <w:tab w:val="left" w:pos="1418" w:leader="none"/>
        </w:tabs>
        <w:ind w:left="1418" w:hanging="1560"/>
        <w:rPr/>
      </w:pPr>
      <w:r>
        <w:rPr/>
        <w:t xml:space="preserve">Обстоятельства, указанные в подпунктах а), б) пункта </w:t>
      </w:r>
      <w:r>
        <w:rPr/>
        <w:fldChar w:fldCharType="begin"/>
      </w:r>
      <w:r>
        <w:rPr/>
        <w:instrText xml:space="preserve"> REF _Ref49335248 \r \h </w:instrText>
      </w:r>
      <w:r>
        <w:rPr/>
        <w:fldChar w:fldCharType="separate"/>
      </w:r>
      <w:r>
        <w:rPr/>
        <w:t>5.12.1</w:t>
      </w:r>
      <w:r>
        <w:rPr/>
        <w:fldChar w:fldCharType="end"/>
      </w:r>
      <w:r>
        <w:rPr/>
        <w:t xml:space="preserve">, в случае их наступления фиксируются в протоколе рассмотрения Заявок (пункт </w:t>
      </w:r>
      <w:r>
        <w:rPr/>
        <w:fldChar w:fldCharType="begin"/>
      </w:r>
      <w:r>
        <w:rPr/>
        <w:instrText xml:space="preserve"> REF _Ref49335466 \r \h </w:instrText>
      </w:r>
      <w:r>
        <w:rPr/>
        <w:fldChar w:fldCharType="separate"/>
      </w:r>
      <w:r>
        <w:rPr/>
        <w:t>5.9.9</w:t>
      </w:r>
      <w:r>
        <w:rPr/>
        <w:fldChar w:fldCharType="end"/>
      </w:r>
      <w:r>
        <w:rPr/>
        <w:t>).</w:t>
      </w:r>
    </w:p>
    <w:p>
      <w:pPr>
        <w:pStyle w:val="Style25"/>
        <w:numPr>
          <w:ilvl w:val="0"/>
          <w:numId w:val="0"/>
        </w:numPr>
        <w:tabs>
          <w:tab w:val="clear" w:pos="567"/>
          <w:tab w:val="left" w:pos="1418" w:leader="none"/>
        </w:tabs>
        <w:ind w:left="1418" w:hanging="0"/>
        <w:rPr/>
      </w:pPr>
      <w:r>
        <w:rPr/>
        <w:t xml:space="preserve">Обстоятельства, указанные в подпунктах в), г) пункта </w:t>
      </w:r>
      <w:r>
        <w:rPr/>
        <w:fldChar w:fldCharType="begin"/>
      </w:r>
      <w:r>
        <w:rPr/>
        <w:instrText xml:space="preserve"> REF _Ref49335248 \r \h </w:instrText>
      </w:r>
      <w:r>
        <w:rPr/>
        <w:fldChar w:fldCharType="separate"/>
      </w:r>
      <w:r>
        <w:rPr/>
        <w:t>5.12.1</w:t>
      </w:r>
      <w:r>
        <w:rPr/>
        <w:fldChar w:fldCharType="end"/>
      </w:r>
      <w:r>
        <w:rPr/>
        <w:t xml:space="preserve">, в случае их наступления фиксируются в протоколе о результатах Аукциона (пункт </w:t>
      </w:r>
      <w:r>
        <w:rPr/>
        <w:fldChar w:fldCharType="begin"/>
      </w:r>
      <w:r>
        <w:rPr/>
        <w:instrText xml:space="preserve"> REF _Ref536798162 \r \h </w:instrText>
      </w:r>
      <w:r>
        <w:rPr/>
        <w:fldChar w:fldCharType="separate"/>
      </w:r>
      <w:r>
        <w:rPr/>
        <w:t>5.11.1</w:t>
      </w:r>
      <w:r>
        <w:rPr/>
        <w:fldChar w:fldCharType="end"/>
      </w:r>
      <w:r>
        <w:rPr/>
        <w:t>).</w:t>
      </w:r>
    </w:p>
    <w:p>
      <w:pPr>
        <w:pStyle w:val="Style25"/>
        <w:numPr>
          <w:ilvl w:val="2"/>
          <w:numId w:val="3"/>
        </w:numPr>
        <w:tabs>
          <w:tab w:val="clear" w:pos="567"/>
          <w:tab w:val="left" w:pos="1418" w:leader="none"/>
        </w:tabs>
        <w:ind w:left="1418" w:hanging="1560"/>
        <w:rPr/>
      </w:pPr>
      <w:bookmarkStart w:id="374" w:name="_Ref49336685"/>
      <w:r>
        <w:rPr/>
        <w:t xml:space="preserve">В случае признания Аукциона несостоявшимся по обстоятельствам, указанным в подпунктах а), б) пункта </w:t>
      </w:r>
      <w:r>
        <w:rPr/>
        <w:fldChar w:fldCharType="begin"/>
      </w:r>
      <w:r>
        <w:rPr/>
        <w:instrText xml:space="preserve"> REF _Ref49335248 \r \h </w:instrText>
      </w:r>
      <w:r>
        <w:rPr/>
        <w:fldChar w:fldCharType="separate"/>
      </w:r>
      <w:r>
        <w:rPr/>
        <w:t>5.12.1</w:t>
      </w:r>
      <w:r>
        <w:rPr/>
        <w:fldChar w:fldCharType="end"/>
      </w:r>
      <w:r>
        <w:rPr/>
        <w:t xml:space="preserve">, Комиссия вправе принять решение о заключении Договора с единственным Участником несостоявшегося Аукциона (раздел </w:t>
      </w:r>
      <w:r>
        <w:rPr/>
        <w:fldChar w:fldCharType="begin"/>
      </w:r>
      <w:r>
        <w:rPr/>
        <w:instrText xml:space="preserve"> REF _Ref418863007 \r \h </w:instrText>
      </w:r>
      <w:r>
        <w:rPr/>
        <w:fldChar w:fldCharType="separate"/>
      </w:r>
      <w:r>
        <w:rPr/>
        <w:t>6</w:t>
      </w:r>
      <w:r>
        <w:rPr/>
        <w:fldChar w:fldCharType="end"/>
      </w:r>
      <w:r>
        <w:rPr/>
        <w:t>).</w:t>
      </w:r>
      <w:bookmarkEnd w:id="374"/>
    </w:p>
    <w:p>
      <w:pPr>
        <w:pStyle w:val="Heading2"/>
        <w:numPr>
          <w:ilvl w:val="1"/>
          <w:numId w:val="3"/>
        </w:numPr>
        <w:ind w:left="1134" w:hanging="1134"/>
        <w:rPr>
          <w:sz w:val="26"/>
        </w:rPr>
      </w:pPr>
      <w:bookmarkStart w:id="375" w:name="_Toc187829921"/>
      <w:r>
        <w:rPr>
          <w:sz w:val="26"/>
        </w:rPr>
        <w:t>Отказ от проведения (отмена) аукциона</w:t>
      </w:r>
      <w:bookmarkEnd w:id="375"/>
    </w:p>
    <w:p>
      <w:pPr>
        <w:pStyle w:val="Style25"/>
        <w:numPr>
          <w:ilvl w:val="2"/>
          <w:numId w:val="3"/>
        </w:numPr>
        <w:tabs>
          <w:tab w:val="clear" w:pos="567"/>
          <w:tab w:val="left" w:pos="1418" w:leader="none"/>
        </w:tabs>
        <w:ind w:left="1418" w:hanging="1560"/>
        <w:rPr/>
      </w:pPr>
      <w:r>
        <w:rPr/>
        <w:t xml:space="preserve">Организатор имеет право отказаться от проведения Аукциона в любое время, но не позднее чем за три дня до наступления даты его проведения, установленного в пункте </w:t>
      </w:r>
      <w:r>
        <w:rPr/>
        <w:fldChar w:fldCharType="begin"/>
      </w:r>
      <w:r>
        <w:rPr/>
        <w:instrText xml:space="preserve"> REF _Ref516229879 \r \h </w:instrText>
      </w:r>
      <w:r>
        <w:rPr/>
        <w:fldChar w:fldCharType="separate"/>
      </w:r>
      <w:r>
        <w:rPr/>
        <w:t>1.2.17</w:t>
      </w:r>
      <w:r>
        <w:rPr/>
        <w:fldChar w:fldCharType="end"/>
      </w:r>
      <w:r>
        <w:rPr/>
        <w:t xml:space="preserve">, не неся никакой ответственности перед Участниками или третьими лицами, которым такое действие может принести убытки. </w:t>
      </w:r>
    </w:p>
    <w:p>
      <w:pPr>
        <w:pStyle w:val="Style25"/>
        <w:numPr>
          <w:ilvl w:val="2"/>
          <w:numId w:val="3"/>
        </w:numPr>
        <w:tabs>
          <w:tab w:val="clear" w:pos="567"/>
          <w:tab w:val="left" w:pos="1418" w:leader="none"/>
        </w:tabs>
        <w:ind w:left="1418" w:hanging="1560"/>
        <w:rPr/>
      </w:pPr>
      <w:bookmarkStart w:id="376" w:name="_Ref56220027"/>
      <w:r>
        <w:rPr/>
        <w:t>Информирование Участников об отказе от Аукциона осуществляется в соответствии с Регламентом ЭТП</w:t>
      </w:r>
      <w:bookmarkEnd w:id="376"/>
      <w:r>
        <w:rPr/>
        <w:t>.</w:t>
      </w:r>
    </w:p>
    <w:p>
      <w:pPr>
        <w:pStyle w:val="Heading1"/>
        <w:numPr>
          <w:ilvl w:val="0"/>
          <w:numId w:val="3"/>
        </w:numPr>
        <w:rPr>
          <w:sz w:val="28"/>
          <w:szCs w:val="28"/>
        </w:rPr>
      </w:pPr>
      <w:bookmarkStart w:id="377" w:name="_Toc187829922"/>
      <w:bookmarkStart w:id="378" w:name="_Toc69728973"/>
      <w:bookmarkStart w:id="379" w:name="_Toc57314659"/>
      <w:bookmarkStart w:id="380" w:name="_Toc55305388"/>
      <w:bookmarkStart w:id="381" w:name="_Toc55285356"/>
      <w:bookmarkStart w:id="382" w:name="_Ref55280474"/>
      <w:bookmarkStart w:id="383" w:name="_Ref418863007"/>
      <w:r>
        <w:rPr>
          <w:rFonts w:ascii="Times New Roman" w:hAnsi="Times New Roman"/>
          <w:sz w:val="28"/>
          <w:szCs w:val="28"/>
        </w:rPr>
        <w:t>ПОРЯДОК ЗАКЛЮЧЕНИЯ ДОГОВОРА</w:t>
      </w:r>
      <w:bookmarkEnd w:id="377"/>
      <w:bookmarkEnd w:id="378"/>
      <w:bookmarkEnd w:id="379"/>
      <w:bookmarkEnd w:id="380"/>
      <w:bookmarkEnd w:id="381"/>
      <w:bookmarkEnd w:id="382"/>
      <w:bookmarkEnd w:id="383"/>
    </w:p>
    <w:p>
      <w:pPr>
        <w:pStyle w:val="Heading2"/>
        <w:keepNext w:val="false"/>
        <w:widowControl w:val="false"/>
        <w:numPr>
          <w:ilvl w:val="1"/>
          <w:numId w:val="3"/>
        </w:numPr>
        <w:suppressAutoHyphens w:val="false"/>
        <w:ind w:left="1134" w:hanging="1134"/>
        <w:rPr>
          <w:sz w:val="26"/>
        </w:rPr>
      </w:pPr>
      <w:bookmarkStart w:id="384" w:name="_Toc187829923"/>
      <w:r>
        <w:rPr>
          <w:sz w:val="26"/>
        </w:rPr>
        <w:t>Заключение Договора</w:t>
      </w:r>
      <w:bookmarkEnd w:id="384"/>
    </w:p>
    <w:p>
      <w:pPr>
        <w:pStyle w:val="Style25"/>
        <w:numPr>
          <w:ilvl w:val="2"/>
          <w:numId w:val="3"/>
        </w:numPr>
        <w:tabs>
          <w:tab w:val="clear" w:pos="567"/>
          <w:tab w:val="left" w:pos="1418" w:leader="none"/>
        </w:tabs>
        <w:ind w:left="1418" w:hanging="1418"/>
        <w:rPr/>
      </w:pPr>
      <w:bookmarkStart w:id="385" w:name="_Ref524002254"/>
      <w:bookmarkStart w:id="386" w:name="_Ref500429479"/>
      <w:bookmarkStart w:id="387" w:name="_Ref56222958"/>
      <w:r>
        <w:rPr/>
        <w:t xml:space="preserve">Договор купли-продажи между Продавцом и победителем Аукциона заключается </w:t>
      </w:r>
      <w:bookmarkEnd w:id="386"/>
      <w:bookmarkEnd w:id="387"/>
      <w:r>
        <w:rPr/>
        <w:t xml:space="preserve">в течение 20 (двадцати) рабочих дней со дня опубликования на ЭТП любого из протоколов, указанных в пункте </w:t>
      </w:r>
      <w:r>
        <w:rPr/>
        <w:fldChar w:fldCharType="begin"/>
      </w:r>
      <w:r>
        <w:rPr/>
        <w:instrText xml:space="preserve"> REF _Ref524100091 \r \h </w:instrText>
      </w:r>
      <w:r>
        <w:rPr/>
        <w:fldChar w:fldCharType="separate"/>
      </w:r>
      <w:r>
        <w:rPr/>
        <w:t>5.11.3</w:t>
      </w:r>
      <w:r>
        <w:rPr/>
        <w:fldChar w:fldCharType="end"/>
      </w:r>
      <w:r>
        <w:rPr/>
        <w:t>.</w:t>
      </w:r>
      <w:bookmarkEnd w:id="385"/>
    </w:p>
    <w:p>
      <w:pPr>
        <w:pStyle w:val="Style25"/>
        <w:numPr>
          <w:ilvl w:val="2"/>
          <w:numId w:val="3"/>
        </w:numPr>
        <w:tabs>
          <w:tab w:val="clear" w:pos="567"/>
          <w:tab w:val="left" w:pos="1418" w:leader="none"/>
        </w:tabs>
        <w:ind w:left="1418" w:hanging="1418"/>
        <w:rPr/>
      </w:pPr>
      <w:bookmarkStart w:id="388" w:name="_Ref65843702"/>
      <w:r>
        <w:rPr/>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Аукциона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Аукциона заключается не позднее чем через 5 (пять) календарных дней с даты такого одобрения.</w:t>
      </w:r>
      <w:bookmarkEnd w:id="388"/>
    </w:p>
    <w:p>
      <w:pPr>
        <w:pStyle w:val="Style25"/>
        <w:numPr>
          <w:ilvl w:val="2"/>
          <w:numId w:val="3"/>
        </w:numPr>
        <w:tabs>
          <w:tab w:val="clear" w:pos="567"/>
          <w:tab w:val="left" w:pos="1418" w:leader="none"/>
        </w:tabs>
        <w:ind w:left="1418" w:hanging="1418"/>
        <w:rPr/>
      </w:pPr>
      <w:r>
        <w:rPr/>
        <w:t xml:space="preserve">В целях соблюдения установленного в пункте </w:t>
      </w:r>
      <w:r>
        <w:rPr/>
        <w:fldChar w:fldCharType="begin"/>
      </w:r>
      <w:r>
        <w:rPr/>
        <w:instrText xml:space="preserve"> REF _Ref500429479 \r \h </w:instrText>
      </w:r>
      <w:r>
        <w:rPr/>
        <w:fldChar w:fldCharType="separate"/>
      </w:r>
      <w:r>
        <w:rPr/>
        <w:t>6.1.1</w:t>
      </w:r>
      <w:r>
        <w:rPr/>
        <w:fldChar w:fldCharType="end"/>
      </w:r>
      <w:r>
        <w:rPr/>
        <w:t xml:space="preserve"> срока заключения Договора, его проект может быть направлен Продавцом для подписания победителю Аукциона на указанный им в Заявке адрес электронной почты.</w:t>
      </w:r>
    </w:p>
    <w:p>
      <w:pPr>
        <w:pStyle w:val="Style25"/>
        <w:numPr>
          <w:ilvl w:val="2"/>
          <w:numId w:val="3"/>
        </w:numPr>
        <w:tabs>
          <w:tab w:val="clear" w:pos="567"/>
          <w:tab w:val="left" w:pos="1418" w:leader="none"/>
        </w:tabs>
        <w:ind w:left="1418" w:hanging="1418"/>
        <w:rPr/>
      </w:pPr>
      <w:r>
        <w:rPr/>
        <w:t>При заключении Договора купли-продажи с победителем Аукциона внесение изменений в проект Договора купли-продажи, входящего в состав Документации, в части предмета договора, сроков и порядка оплаты приобретаемого Предмета продажи не допускается.</w:t>
      </w:r>
    </w:p>
    <w:p>
      <w:pPr>
        <w:pStyle w:val="Style25"/>
        <w:numPr>
          <w:ilvl w:val="2"/>
          <w:numId w:val="3"/>
        </w:numPr>
        <w:tabs>
          <w:tab w:val="clear" w:pos="567"/>
          <w:tab w:val="left" w:pos="1418" w:leader="none"/>
        </w:tabs>
        <w:ind w:left="1418" w:hanging="1418"/>
        <w:rPr/>
      </w:pPr>
      <w:bookmarkStart w:id="389" w:name="_Ref65843707"/>
      <w:r>
        <w:rPr/>
        <w:t>Оплаты цены Предмета продажи, передача от Продавца к победителю Аукциона Предмета продажи, осуществление действий по государственной регистрации перехода права собственности от Продавца к победителю Аукциона на недвижимое имущество, входящее в Предмет продажи, осуществляется в порядке, установленном Договором купли-продажи.</w:t>
      </w:r>
      <w:bookmarkEnd w:id="389"/>
    </w:p>
    <w:p>
      <w:pPr>
        <w:pStyle w:val="Style25"/>
        <w:numPr>
          <w:ilvl w:val="2"/>
          <w:numId w:val="3"/>
        </w:numPr>
        <w:tabs>
          <w:tab w:val="clear" w:pos="567"/>
          <w:tab w:val="left" w:pos="1418" w:leader="none"/>
        </w:tabs>
        <w:ind w:left="1418" w:hanging="1418"/>
        <w:rPr/>
      </w:pPr>
      <w:r>
        <w:rPr/>
        <w:t xml:space="preserve">В случае, предусмотренном пунктом </w:t>
      </w:r>
      <w:r>
        <w:rPr/>
        <w:fldChar w:fldCharType="begin"/>
      </w:r>
      <w:r>
        <w:rPr/>
        <w:instrText xml:space="preserve"> REF _Ref49336685 \r \h </w:instrText>
      </w:r>
      <w:r>
        <w:rPr/>
        <w:fldChar w:fldCharType="separate"/>
      </w:r>
      <w:r>
        <w:rPr/>
        <w:t>5.12.3</w:t>
      </w:r>
      <w:r>
        <w:rPr/>
        <w:fldChar w:fldCharType="end"/>
      </w:r>
      <w:r>
        <w:rPr/>
        <w:t xml:space="preserve">,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Заявок. </w:t>
      </w:r>
    </w:p>
    <w:p>
      <w:pPr>
        <w:pStyle w:val="Style25"/>
        <w:numPr>
          <w:ilvl w:val="0"/>
          <w:numId w:val="0"/>
        </w:numPr>
        <w:tabs>
          <w:tab w:val="clear" w:pos="567"/>
          <w:tab w:val="left" w:pos="1418" w:leader="none"/>
        </w:tabs>
        <w:ind w:left="1418" w:hanging="0"/>
        <w:rPr/>
      </w:pPr>
      <w:r>
        <w:rPr/>
        <w:t xml:space="preserve">Условия, предусмотренные пунктами </w:t>
      </w:r>
      <w:r>
        <w:rPr/>
        <w:fldChar w:fldCharType="begin"/>
      </w:r>
      <w:r>
        <w:rPr/>
        <w:instrText xml:space="preserve"> REF _Ref65843702 \r \h </w:instrText>
      </w:r>
      <w:r>
        <w:rPr/>
        <w:fldChar w:fldCharType="separate"/>
      </w:r>
      <w:r>
        <w:rPr/>
        <w:t>6.1.2</w:t>
      </w:r>
      <w:r>
        <w:rPr/>
        <w:fldChar w:fldCharType="end"/>
      </w:r>
      <w:r>
        <w:rPr/>
        <w:t xml:space="preserve"> - </w:t>
      </w:r>
      <w:r>
        <w:rPr/>
        <w:fldChar w:fldCharType="begin"/>
      </w:r>
      <w:r>
        <w:rPr/>
        <w:instrText xml:space="preserve"> REF _Ref65843707 \r \h </w:instrText>
      </w:r>
      <w:r>
        <w:rPr/>
        <w:fldChar w:fldCharType="separate"/>
      </w:r>
      <w:r>
        <w:rPr/>
        <w:t>6.1.5</w:t>
      </w:r>
      <w:r>
        <w:rPr/>
        <w:fldChar w:fldCharType="end"/>
      </w:r>
      <w:r>
        <w:rPr/>
        <w:t>, распространяются и применяются к настоящему пункту.</w:t>
      </w:r>
    </w:p>
    <w:p>
      <w:pPr>
        <w:pStyle w:val="Style25"/>
        <w:numPr>
          <w:ilvl w:val="0"/>
          <w:numId w:val="0"/>
        </w:numPr>
        <w:tabs>
          <w:tab w:val="clear" w:pos="567"/>
          <w:tab w:val="left" w:pos="1418" w:leader="none"/>
        </w:tabs>
        <w:ind w:left="1418" w:hanging="0"/>
        <w:rPr/>
      </w:pPr>
      <w:r>
        <w:rPr/>
        <w:t xml:space="preserve">Условия, предусмотренные подразделом </w:t>
      </w:r>
      <w:r>
        <w:rPr/>
        <w:fldChar w:fldCharType="begin"/>
      </w:r>
      <w:r>
        <w:rPr/>
        <w:instrText xml:space="preserve"> REF _Ref65843733 \r \h </w:instrText>
      </w:r>
      <w:r>
        <w:rPr/>
        <w:fldChar w:fldCharType="separate"/>
      </w:r>
      <w:r>
        <w:rPr/>
        <w:t>6.2</w:t>
      </w:r>
      <w:r>
        <w:rPr/>
        <w:fldChar w:fldCharType="end"/>
      </w:r>
      <w:r>
        <w:rPr/>
        <w:t>, распространяются и применяются к настоящему пункту.</w:t>
      </w:r>
    </w:p>
    <w:p>
      <w:pPr>
        <w:pStyle w:val="Heading2"/>
        <w:numPr>
          <w:ilvl w:val="1"/>
          <w:numId w:val="3"/>
        </w:numPr>
        <w:ind w:left="1134" w:hanging="1134"/>
        <w:rPr>
          <w:sz w:val="26"/>
        </w:rPr>
      </w:pPr>
      <w:bookmarkStart w:id="390" w:name="_Toc187829924"/>
      <w:bookmarkStart w:id="391" w:name="_Ref65843733"/>
      <w:r>
        <w:rPr>
          <w:sz w:val="26"/>
        </w:rPr>
        <w:t>Уклонение или отказ победителя Аукциона от заключения Договора</w:t>
      </w:r>
      <w:bookmarkEnd w:id="390"/>
      <w:bookmarkEnd w:id="391"/>
    </w:p>
    <w:p>
      <w:pPr>
        <w:pStyle w:val="Style25"/>
        <w:numPr>
          <w:ilvl w:val="2"/>
          <w:numId w:val="3"/>
        </w:numPr>
        <w:tabs>
          <w:tab w:val="clear" w:pos="567"/>
          <w:tab w:val="left" w:pos="1418" w:leader="none"/>
        </w:tabs>
        <w:ind w:left="1418" w:hanging="1418"/>
        <w:rPr/>
      </w:pPr>
      <w:r>
        <w:rPr/>
        <w:t>В случае если победитель Аукциона:</w:t>
      </w:r>
    </w:p>
    <w:p>
      <w:pPr>
        <w:pStyle w:val="Style27"/>
        <w:numPr>
          <w:ilvl w:val="4"/>
          <w:numId w:val="3"/>
        </w:numPr>
        <w:tabs>
          <w:tab w:val="clear" w:pos="567"/>
          <w:tab w:val="left" w:pos="1844" w:leader="none"/>
        </w:tabs>
        <w:ind w:left="1844" w:hanging="567"/>
        <w:rPr/>
      </w:pPr>
      <w:r>
        <w:rPr/>
        <w:t xml:space="preserve">не подпишет Договор в установленный Документацией срок (пункт </w:t>
      </w:r>
      <w:r>
        <w:rPr/>
        <w:fldChar w:fldCharType="begin"/>
      </w:r>
      <w:r>
        <w:rPr/>
        <w:instrText xml:space="preserve"> REF _Ref500429479 \r \h </w:instrText>
      </w:r>
      <w:r>
        <w:rPr/>
        <w:fldChar w:fldCharType="separate"/>
      </w:r>
      <w:r>
        <w:rPr/>
        <w:t>6.1.1</w:t>
      </w:r>
      <w:r>
        <w:rPr/>
        <w:fldChar w:fldCharType="end"/>
      </w:r>
      <w:r>
        <w:rPr/>
        <w:t>);</w:t>
      </w:r>
    </w:p>
    <w:p>
      <w:pPr>
        <w:pStyle w:val="Style27"/>
        <w:numPr>
          <w:ilvl w:val="4"/>
          <w:numId w:val="3"/>
        </w:numPr>
        <w:tabs>
          <w:tab w:val="clear" w:pos="567"/>
          <w:tab w:val="left" w:pos="1844" w:leader="none"/>
        </w:tabs>
        <w:ind w:left="1844" w:hanging="567"/>
        <w:rPr/>
      </w:pPr>
      <w:r>
        <w:rPr/>
        <w:t>откажется в письменной форме от подписания Договора на условиях Документации и в соответствии с протоколом о результатах Аукциона;</w:t>
      </w:r>
    </w:p>
    <w:p>
      <w:pPr>
        <w:pStyle w:val="Style27"/>
        <w:numPr>
          <w:ilvl w:val="4"/>
          <w:numId w:val="3"/>
        </w:numPr>
        <w:tabs>
          <w:tab w:val="clear" w:pos="567"/>
          <w:tab w:val="left" w:pos="1844" w:leader="none"/>
        </w:tabs>
        <w:ind w:left="1844" w:hanging="567"/>
        <w:rPr/>
      </w:pPr>
      <w:r>
        <w:rPr/>
        <w:t>не выполнит другие условия, предусмотренные Документацией,</w:t>
      </w:r>
    </w:p>
    <w:p>
      <w:pPr>
        <w:pStyle w:val="Normal"/>
        <w:ind w:left="1418" w:hanging="0"/>
        <w:rPr/>
      </w:pPr>
      <w:r>
        <w:rPr/>
        <w:t>то он признается уклонившимся или отказавшимся от заключения Договора и утрачивает статус победителя Аукциона, а Продавец вправе заключить договор с Участником, сделавшим предпоследнее предложение о цене Договора. При этом задаток победителю Аукциона не возвращается, и он утрачивает право на заключение Договора.</w:t>
      </w:r>
    </w:p>
    <w:p>
      <w:pPr>
        <w:pStyle w:val="Style25"/>
        <w:numPr>
          <w:ilvl w:val="2"/>
          <w:numId w:val="3"/>
        </w:numPr>
        <w:tabs>
          <w:tab w:val="clear" w:pos="567"/>
          <w:tab w:val="left" w:pos="1418" w:leader="none"/>
        </w:tabs>
        <w:ind w:left="1418" w:hanging="1418"/>
        <w:rPr/>
      </w:pPr>
      <w:r>
        <w:rPr/>
        <w:t>Уклонение или отказ победителя Аукциона от заключения в установленный срок Договора купли-продажи фиксируется в протоколе, который формируется Продавцом / Организатором в течение 2 (двух) рабочих дней с даты уклонения или отказа победителя Аукциона от заключения Договора.</w:t>
      </w:r>
    </w:p>
    <w:p>
      <w:pPr>
        <w:pStyle w:val="Style25"/>
        <w:numPr>
          <w:ilvl w:val="2"/>
          <w:numId w:val="3"/>
        </w:numPr>
        <w:tabs>
          <w:tab w:val="clear" w:pos="567"/>
          <w:tab w:val="left" w:pos="1418" w:leader="none"/>
        </w:tabs>
        <w:ind w:left="1418" w:hanging="1418"/>
        <w:rPr/>
      </w:pPr>
      <w:r>
        <w:rPr/>
        <w:t xml:space="preserve">Организатор в течение 3 (трех) рабочих дней с даты подписания Комиссией протокола об уклонении или отказе от заключения Договора купли-продажи передает Участнику, сделавшему предпоследнее предложение о цене Договора, один экземпляр протокола о результатах Аукциона, протокол об уклонении или отказе от заключения Договора купли-продажи и проект Договора купли-продажи. Указанный проект Договора подписывается в сроки, установленные пунктом </w:t>
      </w:r>
      <w:r>
        <w:rPr/>
        <w:fldChar w:fldCharType="begin"/>
      </w:r>
      <w:r>
        <w:rPr/>
        <w:instrText xml:space="preserve"> REF _Ref524002254 \r \h </w:instrText>
      </w:r>
      <w:r>
        <w:rPr/>
        <w:fldChar w:fldCharType="separate"/>
      </w:r>
      <w:r>
        <w:rPr/>
        <w:t>6.1.1</w:t>
      </w:r>
      <w:r>
        <w:rPr/>
        <w:fldChar w:fldCharType="end"/>
      </w:r>
      <w:r>
        <w:rPr/>
        <w:t>.</w:t>
      </w:r>
    </w:p>
    <w:p>
      <w:pPr>
        <w:pStyle w:val="Heading1"/>
        <w:numPr>
          <w:ilvl w:val="0"/>
          <w:numId w:val="3"/>
        </w:numPr>
        <w:rPr>
          <w:rFonts w:ascii="Times New Roman" w:hAnsi="Times New Roman"/>
          <w:sz w:val="28"/>
          <w:szCs w:val="28"/>
        </w:rPr>
      </w:pPr>
      <w:bookmarkStart w:id="392" w:name="_Toc187829925"/>
      <w:bookmarkStart w:id="393" w:name="_Ref514448879"/>
      <w:bookmarkStart w:id="394" w:name="_Toc69728975"/>
      <w:bookmarkStart w:id="395" w:name="_Toc57314661"/>
      <w:bookmarkStart w:id="396" w:name="_Ref56225121"/>
      <w:bookmarkStart w:id="397" w:name="_Ref56225120"/>
      <w:bookmarkStart w:id="398" w:name="ДОПОЛНИТЕЛЬНЫЕ_ИНСТРУКЦИИ"/>
      <w:bookmarkEnd w:id="398"/>
      <w:r>
        <w:rPr>
          <w:rFonts w:ascii="Times New Roman" w:hAnsi="Times New Roman"/>
          <w:sz w:val="28"/>
          <w:szCs w:val="28"/>
        </w:rPr>
        <w:t>ПОРЯДОК ПРИМЕНЕНИЯ ДОПОЛНИТЕЛЬНЫХ ЭЛЕМЕНТОВ АУКЦИОНА</w:t>
      </w:r>
      <w:bookmarkEnd w:id="392"/>
      <w:bookmarkEnd w:id="393"/>
      <w:bookmarkEnd w:id="394"/>
      <w:bookmarkEnd w:id="395"/>
      <w:bookmarkEnd w:id="396"/>
      <w:bookmarkEnd w:id="397"/>
    </w:p>
    <w:p>
      <w:pPr>
        <w:pStyle w:val="Heading2"/>
        <w:numPr>
          <w:ilvl w:val="1"/>
          <w:numId w:val="3"/>
        </w:numPr>
        <w:ind w:left="1134" w:hanging="1134"/>
        <w:rPr>
          <w:sz w:val="26"/>
        </w:rPr>
      </w:pPr>
      <w:bookmarkStart w:id="399" w:name="_Toc187829926"/>
      <w:bookmarkStart w:id="400" w:name="_Toc69728976"/>
      <w:bookmarkStart w:id="401" w:name="_Toc57314662"/>
      <w:bookmarkStart w:id="402" w:name="ДОПОЛНИТЕЛЬНЫЕ_ИНСТРУКЦИИ_Копия_1"/>
      <w:bookmarkEnd w:id="402"/>
      <w:r>
        <w:rPr>
          <w:sz w:val="26"/>
        </w:rPr>
        <w:t>Статус настоящего раздела</w:t>
      </w:r>
      <w:bookmarkEnd w:id="399"/>
      <w:bookmarkEnd w:id="400"/>
      <w:bookmarkEnd w:id="401"/>
    </w:p>
    <w:p>
      <w:pPr>
        <w:pStyle w:val="Style25"/>
        <w:numPr>
          <w:ilvl w:val="2"/>
          <w:numId w:val="3"/>
        </w:numPr>
        <w:tabs>
          <w:tab w:val="clear" w:pos="567"/>
          <w:tab w:val="left" w:pos="1418" w:leader="none"/>
        </w:tabs>
        <w:ind w:left="1418" w:hanging="1418"/>
        <w:rPr/>
      </w:pPr>
      <w:r>
        <w:rPr/>
        <w:t xml:space="preserve">Настоящий раздел дополняет условия проведения Аукциона и инструкции по подготовке Заявок, приведенные в разделах </w:t>
      </w:r>
      <w:r>
        <w:rPr/>
        <w:fldChar w:fldCharType="begin"/>
      </w:r>
      <w:r>
        <w:rPr/>
        <w:instrText xml:space="preserve"> REF _Ref514453352 \r \h </w:instrText>
      </w:r>
      <w:r>
        <w:rPr/>
        <w:fldChar w:fldCharType="separate"/>
      </w:r>
      <w:r>
        <w:rPr/>
        <w:t>5</w:t>
      </w:r>
      <w:r>
        <w:rPr/>
        <w:fldChar w:fldCharType="end"/>
      </w:r>
      <w:r>
        <w:rPr/>
        <w:t xml:space="preserve"> – </w:t>
      </w:r>
      <w:r>
        <w:rPr/>
        <w:fldChar w:fldCharType="begin"/>
      </w:r>
      <w:r>
        <w:rPr/>
        <w:instrText xml:space="preserve"> REF _Ref418863007 \r \h </w:instrText>
      </w:r>
      <w:r>
        <w:rPr/>
        <w:fldChar w:fldCharType="separate"/>
      </w:r>
      <w:r>
        <w:rPr/>
        <w:t>6</w:t>
      </w:r>
      <w:r>
        <w:rPr/>
        <w:fldChar w:fldCharType="end"/>
      </w:r>
      <w:r>
        <w:rPr/>
        <w:t>, если применимо.</w:t>
      </w:r>
    </w:p>
    <w:p>
      <w:pPr>
        <w:pStyle w:val="Style25"/>
        <w:numPr>
          <w:ilvl w:val="2"/>
          <w:numId w:val="3"/>
        </w:numPr>
        <w:tabs>
          <w:tab w:val="clear" w:pos="567"/>
          <w:tab w:val="left" w:pos="1418" w:leader="none"/>
        </w:tabs>
        <w:ind w:left="1418" w:hanging="1418"/>
        <w:rPr/>
      </w:pPr>
      <w:r>
        <w:rPr/>
        <w:t xml:space="preserve">В случае противоречий между требованиями настоящего раздела и разделами </w:t>
      </w:r>
      <w:r>
        <w:rPr/>
        <w:fldChar w:fldCharType="begin"/>
      </w:r>
      <w:r>
        <w:rPr/>
        <w:instrText xml:space="preserve"> REF _Ref514453352 \r \h </w:instrText>
      </w:r>
      <w:r>
        <w:rPr/>
        <w:fldChar w:fldCharType="separate"/>
      </w:r>
      <w:r>
        <w:rPr/>
        <w:t>5</w:t>
      </w:r>
      <w:r>
        <w:rPr/>
        <w:fldChar w:fldCharType="end"/>
      </w:r>
      <w:r>
        <w:rPr/>
        <w:t xml:space="preserve"> – </w:t>
      </w:r>
      <w:r>
        <w:rPr/>
        <w:fldChar w:fldCharType="begin"/>
      </w:r>
      <w:r>
        <w:rPr/>
        <w:instrText xml:space="preserve"> REF _Ref418863007 \r \h </w:instrText>
      </w:r>
      <w:r>
        <w:rPr/>
        <w:fldChar w:fldCharType="separate"/>
      </w:r>
      <w:r>
        <w:rPr/>
        <w:t>6</w:t>
      </w:r>
      <w:r>
        <w:rPr/>
        <w:fldChar w:fldCharType="end"/>
      </w:r>
      <w:r>
        <w:rPr/>
        <w:t xml:space="preserve"> применяются требования настоящего раздела. В случае противоречий между требованиями подразделов настоящего раздела применяются те требования, которые приведены последними.</w:t>
      </w:r>
    </w:p>
    <w:p>
      <w:pPr>
        <w:pStyle w:val="Heading2"/>
        <w:numPr>
          <w:ilvl w:val="1"/>
          <w:numId w:val="3"/>
        </w:numPr>
        <w:ind w:left="1134" w:hanging="1134"/>
        <w:rPr>
          <w:sz w:val="26"/>
        </w:rPr>
      </w:pPr>
      <w:bookmarkStart w:id="403" w:name="_Toc187829927"/>
      <w:bookmarkStart w:id="404" w:name="_Ref56251910"/>
      <w:bookmarkStart w:id="405" w:name="_Toc69728984"/>
      <w:bookmarkStart w:id="406" w:name="_Toc57314670"/>
      <w:bookmarkEnd w:id="404"/>
      <w:bookmarkEnd w:id="405"/>
      <w:bookmarkEnd w:id="406"/>
      <w:r>
        <w:rPr>
          <w:sz w:val="26"/>
        </w:rPr>
        <w:t>Многолотовая продажа</w:t>
      </w:r>
      <w:bookmarkEnd w:id="403"/>
    </w:p>
    <w:p>
      <w:pPr>
        <w:pStyle w:val="Style25"/>
        <w:numPr>
          <w:ilvl w:val="2"/>
          <w:numId w:val="3"/>
        </w:numPr>
        <w:tabs>
          <w:tab w:val="clear" w:pos="567"/>
          <w:tab w:val="left" w:pos="1134" w:leader="none"/>
        </w:tabs>
        <w:ind w:left="1134" w:hanging="1134"/>
        <w:rPr/>
      </w:pPr>
      <w:r>
        <w:rPr/>
        <w:t xml:space="preserve">В случае если в пункте </w:t>
      </w:r>
      <w:r>
        <w:rPr/>
        <w:fldChar w:fldCharType="begin"/>
      </w:r>
      <w:r>
        <w:rPr/>
        <w:instrText xml:space="preserve"> REF _Ref389745249 \r \h </w:instrText>
      </w:r>
      <w:r>
        <w:rPr/>
        <w:fldChar w:fldCharType="separate"/>
      </w:r>
      <w:r>
        <w:rPr/>
        <w:t>1.2.2</w:t>
      </w:r>
      <w:r>
        <w:rPr/>
        <w:fldChar w:fldCharType="end"/>
      </w:r>
      <w:r>
        <w:rPr/>
        <w:t xml:space="preserve"> установлено, что продажа проводится с разбиением на несколько лотов, такая продажа является многолотовой, и к ней применяются положения настоящего подраздела. </w:t>
      </w:r>
    </w:p>
    <w:p>
      <w:pPr>
        <w:pStyle w:val="Style25"/>
        <w:numPr>
          <w:ilvl w:val="2"/>
          <w:numId w:val="3"/>
        </w:numPr>
        <w:tabs>
          <w:tab w:val="clear" w:pos="567"/>
          <w:tab w:val="left" w:pos="1134" w:leader="none"/>
        </w:tabs>
        <w:ind w:left="1134" w:hanging="1134"/>
        <w:rPr/>
      </w:pPr>
      <w:r>
        <w:rPr/>
        <w:t xml:space="preserve">Многолотовая продажа может проводиться как для одного, так и для нескольких Продавцов. Для всех лотов выпускается общее Извещение, Документация, решения по каждому лоту принимает одна и та же Комиссия. Любые положения Документации, если в них прямо не указан номер конкретного лота, относятся ко всем лотам одновременно. </w:t>
      </w:r>
    </w:p>
    <w:p>
      <w:pPr>
        <w:pStyle w:val="Style25"/>
        <w:numPr>
          <w:ilvl w:val="2"/>
          <w:numId w:val="3"/>
        </w:numPr>
        <w:tabs>
          <w:tab w:val="clear" w:pos="567"/>
          <w:tab w:val="left" w:pos="1134" w:leader="none"/>
        </w:tabs>
        <w:ind w:left="1134" w:hanging="1134"/>
        <w:rPr/>
      </w:pPr>
      <w:bookmarkStart w:id="407" w:name="_Ref197148729"/>
      <w:r>
        <w:rPr/>
        <w:t>Заявитель может подать Заявку на любой лот, любые несколько лотов или все лоты по собственному выбору. Не допускается разбиение отдельного лота на части, то есть подача Заявки на часть лота или части лотов Предмета продажи в любой комбинации.</w:t>
      </w:r>
      <w:bookmarkEnd w:id="407"/>
    </w:p>
    <w:p>
      <w:pPr>
        <w:pStyle w:val="Style25"/>
        <w:numPr>
          <w:ilvl w:val="0"/>
          <w:numId w:val="0"/>
        </w:numPr>
        <w:tabs>
          <w:tab w:val="clear" w:pos="567"/>
          <w:tab w:val="left" w:pos="1134" w:leader="none"/>
        </w:tabs>
        <w:ind w:left="1134" w:hanging="0"/>
        <w:rPr/>
      </w:pPr>
      <w:r>
        <w:rPr/>
        <w:t xml:space="preserve">В случае подачи Заявки на несколько лотов, в том числе все лоты, в дополнение к требованиям подраздела </w:t>
      </w:r>
      <w:r>
        <w:rPr/>
        <w:fldChar w:fldCharType="begin"/>
      </w:r>
      <w:r>
        <w:rPr/>
        <w:instrText xml:space="preserve"> REF _Ref514556725 \r \h </w:instrText>
      </w:r>
      <w:r>
        <w:rPr/>
        <w:fldChar w:fldCharType="separate"/>
      </w:r>
      <w:r>
        <w:rPr/>
        <w:t>5.5</w:t>
      </w:r>
      <w:r>
        <w:rPr/>
        <w:fldChar w:fldCharType="end"/>
      </w:r>
      <w:r>
        <w:rPr/>
        <w:t xml:space="preserve">, </w:t>
      </w:r>
      <w:r>
        <w:rPr/>
        <w:fldChar w:fldCharType="begin"/>
      </w:r>
      <w:r>
        <w:rPr/>
        <w:instrText xml:space="preserve"> REF _Ref55336310 \h </w:instrText>
      </w:r>
      <w:r>
        <w:rPr/>
        <w:fldChar w:fldCharType="separate"/>
      </w:r>
      <w:r>
        <w:rPr/>
        <w:t>Заявка на участие в Аукционе (форма 2)</w:t>
      </w:r>
      <w:r>
        <w:rPr/>
        <w:fldChar w:fldCharType="end"/>
      </w:r>
      <w:r>
        <w:rPr/>
        <w:t xml:space="preserve"> должна содержать указание номера и наименование каждого лота, в качестве цены указывается сумма по каждому лоту.</w:t>
      </w:r>
    </w:p>
    <w:p>
      <w:pPr>
        <w:pStyle w:val="Style25"/>
        <w:numPr>
          <w:ilvl w:val="2"/>
          <w:numId w:val="3"/>
        </w:numPr>
        <w:tabs>
          <w:tab w:val="clear" w:pos="567"/>
          <w:tab w:val="left" w:pos="1134" w:leader="none"/>
        </w:tabs>
        <w:ind w:left="1134" w:hanging="1134"/>
        <w:rPr/>
      </w:pPr>
      <w:r>
        <w:rPr/>
        <w:t xml:space="preserve">В случае если пунктом </w:t>
      </w:r>
      <w:r>
        <w:rPr/>
        <w:fldChar w:fldCharType="begin"/>
      </w:r>
      <w:r>
        <w:rPr/>
        <w:instrText xml:space="preserve"> REF _Ref249865292 \r \h </w:instrText>
      </w:r>
      <w:r>
        <w:rPr/>
        <w:fldChar w:fldCharType="separate"/>
      </w:r>
      <w:r>
        <w:rPr/>
        <w:t>1.2.11</w:t>
      </w:r>
      <w:r>
        <w:rPr/>
        <w:fldChar w:fldCharType="end"/>
      </w:r>
      <w:r>
        <w:rPr/>
        <w:t xml:space="preserve"> предусмотрен задаток, то он перечисляется по всем лотам, на которые Заявитель подает Заявку, отдельно по каждому лоту. Удержание Организатором задатка может производиться только по тем лотам, на которые Участник подал Заявку и по которым он был признан победителем Аукциона.</w:t>
      </w:r>
    </w:p>
    <w:p>
      <w:pPr>
        <w:pStyle w:val="Style25"/>
        <w:numPr>
          <w:ilvl w:val="2"/>
          <w:numId w:val="3"/>
        </w:numPr>
        <w:tabs>
          <w:tab w:val="clear" w:pos="567"/>
          <w:tab w:val="left" w:pos="1134" w:leader="none"/>
        </w:tabs>
        <w:ind w:left="1134" w:hanging="1134"/>
        <w:rPr/>
      </w:pPr>
      <w:bookmarkStart w:id="408" w:name="_Ref197148723"/>
      <w:bookmarkEnd w:id="408"/>
      <w:r>
        <w:rPr/>
        <w:t>Решения, принимаемые в ходе процедуры Аукциона, в том числе рассмотрение Заявок, определение победителя Аукциона, признание Аукциона несостоявшейся, отказ от дальнейшего проведения и т.д., осуществляются раздельно и независимо по каждому из лотов. При этом Организатор вправе оформить по каждому лоту отдельный протокол или сформировать общий протокол по всем лотам, в который в отношении каждого лота вносятся сведения, подлежащие официальному размещению согласно Документации.</w:t>
      </w:r>
    </w:p>
    <w:p>
      <w:pPr>
        <w:pStyle w:val="Heading1"/>
        <w:numPr>
          <w:ilvl w:val="0"/>
          <w:numId w:val="3"/>
        </w:numPr>
        <w:rPr>
          <w:rFonts w:ascii="Times New Roman" w:hAnsi="Times New Roman"/>
          <w:sz w:val="28"/>
          <w:szCs w:val="28"/>
        </w:rPr>
      </w:pPr>
      <w:bookmarkStart w:id="409" w:name="_Toc187829928"/>
      <w:bookmarkStart w:id="410" w:name="_Ref384631716"/>
      <w:bookmarkStart w:id="411" w:name="_Toc69728985"/>
      <w:bookmarkStart w:id="412" w:name="_Toc57314671"/>
      <w:bookmarkStart w:id="413" w:name="_Toc55305390"/>
      <w:bookmarkStart w:id="414" w:name="_Toc55285361"/>
      <w:bookmarkStart w:id="415" w:name="_Ref55280368"/>
      <w:bookmarkStart w:id="416" w:name="_Toc516980555"/>
      <w:bookmarkStart w:id="417" w:name="_Toc516961494"/>
      <w:bookmarkStart w:id="418" w:name="ФОРМЫ"/>
      <w:bookmarkStart w:id="419" w:name="_Toc516980556"/>
      <w:bookmarkStart w:id="420" w:name="_Toc516961495"/>
      <w:bookmarkStart w:id="421" w:name="_Toc516961349"/>
      <w:bookmarkStart w:id="422" w:name="_Toc516961490"/>
      <w:bookmarkStart w:id="423" w:name="_Toc516961344"/>
      <w:bookmarkStart w:id="424" w:name="_Toc516980551"/>
      <w:bookmarkStart w:id="425" w:name="_Toc516961345"/>
      <w:bookmarkStart w:id="426" w:name="_Toc516961491"/>
      <w:bookmarkStart w:id="427" w:name="_Toc516980552"/>
      <w:bookmarkStart w:id="428" w:name="_Toc516961346"/>
      <w:bookmarkStart w:id="429" w:name="_Toc516961492"/>
      <w:bookmarkStart w:id="430" w:name="_Toc516980553"/>
      <w:bookmarkStart w:id="431" w:name="_Toc516961347"/>
      <w:bookmarkStart w:id="432" w:name="_Toc516961493"/>
      <w:bookmarkStart w:id="433" w:name="_Toc516980554"/>
      <w:bookmarkStart w:id="434" w:name="_Toc516961348"/>
      <w:bookmarkStart w:id="435" w:name="_Ref197148723_Копия_1"/>
      <w:bookmarkStart w:id="436" w:name="_Toc57314670_Копия_1"/>
      <w:bookmarkStart w:id="437" w:name="_Toc69728984_Копия_1"/>
      <w:bookmarkStart w:id="438" w:name="_Ref56251910_Копия_1"/>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Fonts w:ascii="Times New Roman" w:hAnsi="Times New Roman"/>
          <w:sz w:val="28"/>
          <w:szCs w:val="28"/>
        </w:rPr>
        <w:t>ОБРАЗЦЫ ОСНОВНЫХ ФОРМ ДОКУМЕНТОВ, ВКЛЮЧАЕМЫХ В ЗАЯВКУ</w:t>
      </w:r>
      <w:bookmarkEnd w:id="409"/>
      <w:bookmarkEnd w:id="410"/>
      <w:bookmarkEnd w:id="411"/>
      <w:bookmarkEnd w:id="412"/>
      <w:bookmarkEnd w:id="413"/>
      <w:bookmarkEnd w:id="414"/>
      <w:bookmarkEnd w:id="415"/>
    </w:p>
    <w:p>
      <w:pPr>
        <w:pStyle w:val="Heading2"/>
        <w:numPr>
          <w:ilvl w:val="1"/>
          <w:numId w:val="3"/>
        </w:numPr>
        <w:ind w:left="1134" w:hanging="1134"/>
        <w:rPr>
          <w:sz w:val="28"/>
        </w:rPr>
      </w:pPr>
      <w:bookmarkStart w:id="439" w:name="_Toc187829929"/>
      <w:bookmarkStart w:id="440" w:name="_Toc418077920"/>
      <w:bookmarkStart w:id="441" w:name="_Ref417482063"/>
      <w:r>
        <w:rPr>
          <w:sz w:val="28"/>
        </w:rPr>
        <w:t xml:space="preserve">Опись документов (форма </w:t>
      </w:r>
      <w:r>
        <w:rPr>
          <w:sz w:val="28"/>
        </w:rPr>
        <w:fldChar w:fldCharType="begin"/>
      </w:r>
      <w:r>
        <w:rPr>
          <w:sz w:val="28"/>
        </w:rPr>
        <w:instrText xml:space="preserve"> SEQ форма \* ARABIC </w:instrText>
      </w:r>
      <w:r>
        <w:rPr>
          <w:sz w:val="28"/>
        </w:rPr>
        <w:fldChar w:fldCharType="separate"/>
      </w:r>
      <w:r>
        <w:rPr>
          <w:sz w:val="28"/>
        </w:rPr>
        <w:t>1</w:t>
      </w:r>
      <w:r>
        <w:rPr>
          <w:sz w:val="28"/>
        </w:rPr>
        <w:fldChar w:fldCharType="end"/>
      </w:r>
      <w:r>
        <w:rPr>
          <w:sz w:val="28"/>
        </w:rPr>
        <w:t>)</w:t>
      </w:r>
      <w:bookmarkEnd w:id="439"/>
      <w:bookmarkEnd w:id="440"/>
      <w:bookmarkEnd w:id="441"/>
    </w:p>
    <w:p>
      <w:pPr>
        <w:pStyle w:val="Style25"/>
        <w:numPr>
          <w:ilvl w:val="2"/>
          <w:numId w:val="3"/>
        </w:numPr>
        <w:tabs>
          <w:tab w:val="clear" w:pos="567"/>
          <w:tab w:val="left" w:pos="1134" w:leader="none"/>
        </w:tabs>
        <w:ind w:left="1418" w:hanging="1418"/>
        <w:rPr>
          <w:b/>
        </w:rPr>
      </w:pPr>
      <w:bookmarkStart w:id="442" w:name="_Toc418077921"/>
      <w:r>
        <w:rPr>
          <w:b/>
        </w:rPr>
        <w:t>Форма описи документов</w:t>
      </w:r>
      <w:bookmarkEnd w:id="442"/>
    </w:p>
    <w:p>
      <w:pPr>
        <w:pStyle w:val="Normal"/>
        <w:keepNext w:val="true"/>
        <w:pBdr>
          <w:top w:val="single" w:sz="4" w:space="1" w:color="000000"/>
        </w:pBdr>
        <w:shd w:val="clear" w:color="auto" w:fill="D9D9D9" w:themeFill="background1" w:themeFillShade="d9"/>
        <w:spacing w:before="120" w:after="120"/>
        <w:jc w:val="center"/>
        <w:rPr>
          <w:rFonts w:eastAsia="Calibri" w:eastAsiaTheme="minorHAnsi"/>
          <w:lang w:eastAsia="en-US"/>
        </w:rPr>
      </w:pPr>
      <w:r>
        <w:rPr>
          <w:rFonts w:eastAsia="Calibri" w:eastAsiaTheme="minorHAnsi"/>
          <w:lang w:eastAsia="en-US"/>
        </w:rPr>
        <w:t>начало формы</w:t>
      </w:r>
    </w:p>
    <w:p>
      <w:pPr>
        <w:pStyle w:val="Normal"/>
        <w:ind w:right="5243" w:hanging="0"/>
        <w:rPr/>
      </w:pPr>
      <w:r>
        <w:rPr/>
      </w:r>
    </w:p>
    <w:p>
      <w:pPr>
        <w:pStyle w:val="Normal"/>
        <w:rPr/>
      </w:pPr>
      <w:r>
        <w:rPr/>
      </w:r>
    </w:p>
    <w:p>
      <w:pPr>
        <w:pStyle w:val="Normal"/>
        <w:jc w:val="center"/>
        <w:rPr>
          <w:b/>
        </w:rPr>
      </w:pPr>
      <w:r>
        <w:rPr>
          <w:b/>
          <w:caps/>
          <w:spacing w:val="20"/>
          <w:sz w:val="28"/>
        </w:rPr>
        <w:t>ОПИСЬ ДОКУМЕНТОВ</w:t>
      </w:r>
    </w:p>
    <w:p>
      <w:pPr>
        <w:pStyle w:val="Normal"/>
        <w:widowControl w:val="false"/>
        <w:ind w:right="-2" w:hanging="0"/>
        <w:rPr/>
      </w:pPr>
      <w:r>
        <w:rPr/>
      </w:r>
    </w:p>
    <w:p>
      <w:pPr>
        <w:pStyle w:val="Normal"/>
        <w:rPr/>
      </w:pPr>
      <w:r>
        <w:rPr/>
        <w:t>Заявитель _____________________________________________________________________,</w:t>
      </w:r>
    </w:p>
    <w:p>
      <w:pPr>
        <w:pStyle w:val="Normal"/>
        <w:ind w:left="1134" w:firstLine="567"/>
        <w:jc w:val="center"/>
        <w:rPr>
          <w:vertAlign w:val="superscript"/>
        </w:rPr>
      </w:pPr>
      <w:r>
        <w:rPr>
          <w:vertAlign w:val="superscript"/>
        </w:rPr>
        <w:t>(полное наименование Заявителя с указанием организационно-правовой формы, ИНН / ФИО)</w:t>
      </w:r>
    </w:p>
    <w:p>
      <w:pPr>
        <w:pStyle w:val="Normal"/>
        <w:spacing w:before="0" w:after="0"/>
        <w:rPr/>
      </w:pPr>
      <w:r>
        <w:rPr/>
        <w:t>находящийся / зарегистрированный по адресу:</w:t>
      </w:r>
    </w:p>
    <w:p>
      <w:pPr>
        <w:pStyle w:val="Normal"/>
        <w:rPr/>
      </w:pPr>
      <w:r>
        <w:rPr/>
        <w:t>______________________________________________________________________________,</w:t>
      </w:r>
    </w:p>
    <w:p>
      <w:pPr>
        <w:pStyle w:val="Normal"/>
        <w:jc w:val="center"/>
        <w:rPr>
          <w:vertAlign w:val="superscript"/>
        </w:rPr>
      </w:pPr>
      <w:r>
        <w:rPr>
          <w:vertAlign w:val="superscript"/>
        </w:rPr>
        <w:t>(место нахождения / адрес регистрации Заявителя)</w:t>
      </w:r>
    </w:p>
    <w:p>
      <w:pPr>
        <w:pStyle w:val="Normal"/>
        <w:spacing w:before="0" w:after="0"/>
        <w:rPr/>
      </w:pPr>
      <w:r>
        <w:rPr/>
        <w:t>представляет для участия в Аукционе на повышение на право заключения договора купли-продажи имущества АО «Загорская ГАЭС-2»</w:t>
      </w:r>
    </w:p>
    <w:p>
      <w:pPr>
        <w:pStyle w:val="Normal"/>
        <w:spacing w:before="0" w:after="0"/>
        <w:rPr/>
      </w:pPr>
      <w:r>
        <w:rPr/>
        <w:t>______________________________________________________________________________</w:t>
      </w:r>
    </w:p>
    <w:p>
      <w:pPr>
        <w:pStyle w:val="Normal"/>
        <w:jc w:val="center"/>
        <w:rPr>
          <w:vertAlign w:val="superscript"/>
        </w:rPr>
      </w:pPr>
      <w:r>
        <w:rPr>
          <w:vertAlign w:val="superscript"/>
        </w:rPr>
        <w:t>(предмет Договора в соответствии с Документацией)</w:t>
      </w:r>
    </w:p>
    <w:p>
      <w:pPr>
        <w:pStyle w:val="Normal"/>
        <w:spacing w:before="0" w:after="0"/>
        <w:rPr/>
      </w:pPr>
      <w:r>
        <w:rPr/>
        <w:t>нижеперечисленные документы:</w:t>
      </w:r>
    </w:p>
    <w:p>
      <w:pPr>
        <w:pStyle w:val="Normal"/>
        <w:widowControl w:val="false"/>
        <w:ind w:right="-2" w:hanging="0"/>
        <w:rPr/>
      </w:pPr>
      <w:r>
        <w:rPr/>
      </w:r>
    </w:p>
    <w:tbl>
      <w:tblPr>
        <w:tblW w:w="10206" w:type="dxa"/>
        <w:jc w:val="left"/>
        <w:tblInd w:w="221" w:type="dxa"/>
        <w:tblLayout w:type="fixed"/>
        <w:tblCellMar>
          <w:top w:w="0" w:type="dxa"/>
          <w:left w:w="108" w:type="dxa"/>
          <w:bottom w:w="0" w:type="dxa"/>
          <w:right w:w="108" w:type="dxa"/>
        </w:tblCellMar>
        <w:tblLook w:val="0000" w:noHBand="0" w:noVBand="0" w:firstColumn="0" w:lastRow="0" w:lastColumn="0" w:firstRow="0"/>
      </w:tblPr>
      <w:tblGrid>
        <w:gridCol w:w="993"/>
        <w:gridCol w:w="5816"/>
        <w:gridCol w:w="1695"/>
        <w:gridCol w:w="1701"/>
      </w:tblGrid>
      <w:tr>
        <w:trPr>
          <w:tblHeader w:val="true"/>
          <w:trHeight w:val="707" w:hRule="atLeast"/>
        </w:trPr>
        <w:tc>
          <w:tcPr>
            <w:tcW w:w="993"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 xml:space="preserve">№ </w:t>
            </w:r>
            <w:r>
              <w:rPr>
                <w:sz w:val="20"/>
                <w:szCs w:val="22"/>
              </w:rPr>
              <w:t>п\п</w:t>
            </w:r>
          </w:p>
        </w:tc>
        <w:tc>
          <w:tcPr>
            <w:tcW w:w="5816"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 xml:space="preserve">Наименование документа / </w:t>
              <w:br/>
              <w:t>наименование файла (последнее – при необходимости, определяемой Заявителем)</w:t>
            </w:r>
          </w:p>
        </w:tc>
        <w:tc>
          <w:tcPr>
            <w:tcW w:w="1695"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Кол-во страниц документа</w:t>
            </w:r>
          </w:p>
        </w:tc>
        <w:tc>
          <w:tcPr>
            <w:tcW w:w="1701"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Страницы заявки:</w:t>
            </w:r>
          </w:p>
          <w:p>
            <w:pPr>
              <w:pStyle w:val="Normal"/>
              <w:widowControl w:val="false"/>
              <w:spacing w:before="0" w:after="40"/>
              <w:jc w:val="center"/>
              <w:rPr>
                <w:sz w:val="20"/>
                <w:szCs w:val="22"/>
              </w:rPr>
            </w:pPr>
            <w:r>
              <w:rPr>
                <w:sz w:val="20"/>
                <w:szCs w:val="22"/>
              </w:rPr>
              <w:t>(с __по __)</w:t>
            </w:r>
          </w:p>
        </w:tc>
      </w:tr>
      <w:tr>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t>1</w:t>
            </w:r>
          </w:p>
        </w:tc>
        <w:tc>
          <w:tcPr>
            <w:tcW w:w="581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p>
            <w:pPr>
              <w:pStyle w:val="Normal"/>
              <w:widowControl w:val="false"/>
              <w:spacing w:before="0" w:after="0"/>
              <w:ind w:right="-2" w:hanging="0"/>
              <w:rPr>
                <w:sz w:val="24"/>
                <w:szCs w:val="24"/>
              </w:rPr>
            </w:pPr>
            <w:r>
              <w:rPr>
                <w:sz w:val="24"/>
                <w:szCs w:val="24"/>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r>
        <w:trPr>
          <w:trHeight w:val="389"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t>2</w:t>
            </w:r>
          </w:p>
        </w:tc>
        <w:tc>
          <w:tcPr>
            <w:tcW w:w="581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p>
            <w:pPr>
              <w:pStyle w:val="Normal"/>
              <w:widowControl w:val="false"/>
              <w:spacing w:before="0" w:after="0"/>
              <w:ind w:right="-2" w:hanging="0"/>
              <w:rPr>
                <w:sz w:val="24"/>
                <w:szCs w:val="24"/>
              </w:rPr>
            </w:pPr>
            <w:r>
              <w:rPr>
                <w:sz w:val="24"/>
                <w:szCs w:val="24"/>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r>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t>…</w:t>
            </w:r>
          </w:p>
        </w:tc>
        <w:tc>
          <w:tcPr>
            <w:tcW w:w="581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p>
            <w:pPr>
              <w:pStyle w:val="Normal"/>
              <w:widowControl w:val="false"/>
              <w:spacing w:before="0" w:after="0"/>
              <w:ind w:right="-2" w:hanging="0"/>
              <w:rPr>
                <w:sz w:val="24"/>
                <w:szCs w:val="24"/>
              </w:rPr>
            </w:pPr>
            <w:r>
              <w:rPr>
                <w:sz w:val="24"/>
                <w:szCs w:val="24"/>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r>
        <w:trPr>
          <w:trHeight w:val="54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r>
          </w:p>
        </w:tc>
        <w:tc>
          <w:tcPr>
            <w:tcW w:w="751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right"/>
              <w:rPr>
                <w:sz w:val="24"/>
                <w:szCs w:val="24"/>
              </w:rPr>
            </w:pPr>
            <w:r>
              <w:rPr>
                <w:sz w:val="24"/>
                <w:szCs w:val="24"/>
              </w:rPr>
              <w:t>ВСЕГО листов заявки:</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bl>
    <w:p>
      <w:pPr>
        <w:pStyle w:val="Normal"/>
        <w:tabs>
          <w:tab w:val="clear" w:pos="567"/>
          <w:tab w:val="left" w:pos="993" w:leader="none"/>
        </w:tabs>
        <w:ind w:left="567" w:hanging="0"/>
        <w:rPr/>
      </w:pPr>
      <w:r>
        <w:rPr/>
      </w:r>
    </w:p>
    <w:p>
      <w:pPr>
        <w:pStyle w:val="Normal"/>
        <w:rPr/>
      </w:pPr>
      <w:r>
        <w:rPr/>
        <w:t>____________________________________</w:t>
      </w:r>
    </w:p>
    <w:p>
      <w:pPr>
        <w:pStyle w:val="Normal"/>
        <w:ind w:right="5527" w:hanging="0"/>
        <w:jc w:val="center"/>
        <w:rPr>
          <w:vertAlign w:val="superscript"/>
        </w:rPr>
      </w:pPr>
      <w:r>
        <w:rPr>
          <w:vertAlign w:val="superscript"/>
        </w:rPr>
        <w:t>(подпись, М.П.)</w:t>
      </w:r>
    </w:p>
    <w:p>
      <w:pPr>
        <w:pStyle w:val="Normal"/>
        <w:rPr/>
      </w:pPr>
      <w:r>
        <w:rPr/>
        <w:t>____________________________________</w:t>
      </w:r>
    </w:p>
    <w:p>
      <w:pPr>
        <w:pStyle w:val="Normal"/>
        <w:ind w:right="5385" w:hanging="0"/>
        <w:jc w:val="center"/>
        <w:rPr>
          <w:vertAlign w:val="superscript"/>
        </w:rPr>
      </w:pPr>
      <w:r>
        <w:rPr>
          <w:vertAlign w:val="superscript"/>
        </w:rPr>
        <w:t>(фамилия, имя, отчество подписавшего, должность)</w:t>
      </w:r>
    </w:p>
    <w:p>
      <w:pPr>
        <w:pStyle w:val="Normal"/>
        <w:pBdr>
          <w:bottom w:val="single" w:sz="4" w:space="1" w:color="000000"/>
        </w:pBdr>
        <w:shd w:val="clear" w:color="auto" w:fill="D9D9D9" w:themeFill="background1" w:themeFillShade="d9"/>
        <w:spacing w:before="120" w:after="120"/>
        <w:jc w:val="center"/>
        <w:rPr>
          <w:rFonts w:eastAsia="Calibri" w:eastAsiaTheme="minorHAnsi"/>
          <w:lang w:eastAsia="en-US"/>
        </w:rPr>
      </w:pPr>
      <w:r>
        <w:rPr>
          <w:rFonts w:eastAsia="Calibri" w:eastAsiaTheme="minorHAnsi"/>
          <w:lang w:eastAsia="en-US"/>
        </w:rPr>
        <w:t>конец формы</w:t>
      </w:r>
      <w:r>
        <w:br w:type="page"/>
      </w:r>
    </w:p>
    <w:p>
      <w:pPr>
        <w:pStyle w:val="Style25"/>
        <w:widowControl w:val="false"/>
        <w:numPr>
          <w:ilvl w:val="2"/>
          <w:numId w:val="3"/>
        </w:numPr>
        <w:tabs>
          <w:tab w:val="clear" w:pos="567"/>
          <w:tab w:val="left" w:pos="1134" w:leader="none"/>
        </w:tabs>
        <w:spacing w:before="0" w:after="0"/>
        <w:ind w:left="1418" w:hanging="1418"/>
        <w:rPr>
          <w:b/>
        </w:rPr>
      </w:pPr>
      <w:bookmarkStart w:id="443" w:name="_Toc418077922"/>
      <w:r>
        <w:rPr>
          <w:b/>
        </w:rPr>
        <w:t>Инструкции по заполнению</w:t>
      </w:r>
      <w:bookmarkEnd w:id="443"/>
      <w:r>
        <w:rPr>
          <w:b/>
        </w:rPr>
        <w:t xml:space="preserve"> формы описи</w:t>
      </w:r>
    </w:p>
    <w:p>
      <w:pPr>
        <w:pStyle w:val="Style26"/>
        <w:numPr>
          <w:ilvl w:val="3"/>
          <w:numId w:val="3"/>
        </w:numPr>
        <w:rPr/>
      </w:pPr>
      <w:r>
        <w:rPr/>
        <w:t xml:space="preserve">Опись следует оформить на официальном бланке Заявителя / Участника, если применимо. </w:t>
      </w:r>
    </w:p>
    <w:p>
      <w:pPr>
        <w:pStyle w:val="Style26"/>
        <w:numPr>
          <w:ilvl w:val="3"/>
          <w:numId w:val="3"/>
        </w:numPr>
        <w:rPr/>
      </w:pPr>
      <w:r>
        <w:rPr/>
        <w:t>Заявитель / Участник должен указать свое полное наименование (с указанием организационно-правовой формы) либо фамилию, имя, отчество (в случае действия в качестве индивидуального предпринимателя – указать об этом), ИНН, место нахождения / адрес регистрации.</w:t>
      </w:r>
    </w:p>
    <w:p>
      <w:pPr>
        <w:pStyle w:val="Style26"/>
        <w:numPr>
          <w:ilvl w:val="3"/>
          <w:numId w:val="3"/>
        </w:numPr>
        <w:rPr/>
      </w:pPr>
      <w:r>
        <w:rPr/>
        <w:t>Заявитель / Участник должен перечислить и указать объем каждого документа, входящего в состав Заявки (в страницах). Заявитель / Участник вправе указать наименование файла, соответствующего представляемому документу, в целях его корректной идентификации.</w:t>
      </w:r>
      <w:r>
        <w:br w:type="page"/>
      </w:r>
    </w:p>
    <w:p>
      <w:pPr>
        <w:pStyle w:val="Heading2"/>
        <w:keepNext w:val="false"/>
        <w:widowControl w:val="false"/>
        <w:numPr>
          <w:ilvl w:val="1"/>
          <w:numId w:val="3"/>
        </w:numPr>
        <w:spacing w:before="0" w:after="120"/>
        <w:ind w:left="1134" w:hanging="1134"/>
        <w:rPr>
          <w:sz w:val="28"/>
        </w:rPr>
      </w:pPr>
      <w:bookmarkStart w:id="444" w:name="_Toc187829930"/>
      <w:bookmarkStart w:id="445" w:name="_Toc69728986"/>
      <w:bookmarkStart w:id="446" w:name="_Toc57314672"/>
      <w:bookmarkStart w:id="447" w:name="_Ref55336310"/>
      <w:bookmarkStart w:id="448" w:name="ФОРМЫ_Копия_1"/>
      <w:bookmarkEnd w:id="448"/>
      <w:r>
        <w:rPr>
          <w:sz w:val="28"/>
        </w:rPr>
        <w:t xml:space="preserve">Заявка на участие в Аукционе </w:t>
      </w:r>
      <w:bookmarkStart w:id="449" w:name="_Ref22846535"/>
      <w:r>
        <w:rPr>
          <w:sz w:val="28"/>
        </w:rPr>
        <w:t>(</w:t>
      </w:r>
      <w:bookmarkEnd w:id="449"/>
      <w:r>
        <w:rPr>
          <w:sz w:val="28"/>
        </w:rPr>
        <w:t xml:space="preserve">форма </w:t>
      </w:r>
      <w:r>
        <w:rPr>
          <w:sz w:val="28"/>
        </w:rPr>
        <w:fldChar w:fldCharType="begin"/>
      </w:r>
      <w:r>
        <w:rPr>
          <w:sz w:val="28"/>
        </w:rPr>
        <w:instrText xml:space="preserve"> SEQ форма \* ARABIC </w:instrText>
      </w:r>
      <w:r>
        <w:rPr>
          <w:sz w:val="28"/>
        </w:rPr>
        <w:fldChar w:fldCharType="separate"/>
      </w:r>
      <w:r>
        <w:rPr>
          <w:sz w:val="28"/>
        </w:rPr>
        <w:t>2</w:t>
      </w:r>
      <w:r>
        <w:rPr>
          <w:sz w:val="28"/>
        </w:rPr>
        <w:fldChar w:fldCharType="end"/>
      </w:r>
      <w:r>
        <w:rPr>
          <w:sz w:val="28"/>
        </w:rPr>
        <w:t>)</w:t>
      </w:r>
      <w:bookmarkEnd w:id="444"/>
      <w:bookmarkEnd w:id="445"/>
      <w:bookmarkEnd w:id="446"/>
      <w:bookmarkEnd w:id="447"/>
    </w:p>
    <w:p>
      <w:pPr>
        <w:pStyle w:val="Style25"/>
        <w:numPr>
          <w:ilvl w:val="2"/>
          <w:numId w:val="3"/>
        </w:numPr>
        <w:tabs>
          <w:tab w:val="clear" w:pos="567"/>
          <w:tab w:val="left" w:pos="1134" w:leader="none"/>
        </w:tabs>
        <w:ind w:left="1418" w:hanging="1418"/>
        <w:rPr>
          <w:b/>
        </w:rPr>
      </w:pPr>
      <w:r>
        <w:rPr>
          <w:b/>
        </w:rPr>
        <w:t>Форма Заявки на участие в Аукционе</w:t>
      </w:r>
    </w:p>
    <w:p>
      <w:pPr>
        <w:pStyle w:val="Normal"/>
        <w:keepNext w:val="true"/>
        <w:pBdr>
          <w:top w:val="single" w:sz="4" w:space="1" w:color="000000"/>
        </w:pBdr>
        <w:shd w:val="clear" w:color="auto" w:fill="D9D9D9" w:themeFill="background1" w:themeFillShade="d9"/>
        <w:spacing w:before="120" w:after="120"/>
        <w:jc w:val="center"/>
        <w:rPr>
          <w:rFonts w:eastAsia="Calibri" w:eastAsiaTheme="minorHAnsi"/>
          <w:lang w:eastAsia="en-US"/>
        </w:rPr>
      </w:pPr>
      <w:r>
        <w:rPr>
          <w:rFonts w:eastAsia="Calibri" w:eastAsiaTheme="minorHAnsi"/>
          <w:lang w:eastAsia="en-US"/>
        </w:rPr>
        <w:t>начало формы</w:t>
      </w:r>
    </w:p>
    <w:p>
      <w:pPr>
        <w:pStyle w:val="Normal"/>
        <w:ind w:right="5243" w:hanging="0"/>
        <w:rPr/>
      </w:pPr>
      <w:r>
        <w:rPr/>
      </w:r>
    </w:p>
    <w:p>
      <w:pPr>
        <w:pStyle w:val="Normal"/>
        <w:ind w:right="5243" w:hanging="0"/>
        <w:rPr/>
      </w:pPr>
      <w:r>
        <w:rPr/>
        <w:t>«_____» ______________ 20__ года</w:t>
      </w:r>
    </w:p>
    <w:p>
      <w:pPr>
        <w:pStyle w:val="Normal"/>
        <w:ind w:right="5243" w:hanging="0"/>
        <w:rPr/>
      </w:pPr>
      <w:r>
        <w:rPr/>
        <w:t>№</w:t>
      </w:r>
      <w:r>
        <w:rPr/>
        <w:t>________________________</w:t>
      </w:r>
    </w:p>
    <w:p>
      <w:pPr>
        <w:pStyle w:val="Normal"/>
        <w:ind w:right="5243" w:hanging="0"/>
        <w:rPr/>
      </w:pPr>
      <w:r>
        <w:rPr/>
      </w:r>
    </w:p>
    <w:p>
      <w:pPr>
        <w:pStyle w:val="Normal"/>
        <w:jc w:val="center"/>
        <w:rPr>
          <w:b/>
          <w:caps/>
          <w:spacing w:val="20"/>
          <w:sz w:val="28"/>
        </w:rPr>
      </w:pPr>
      <w:r>
        <w:rPr>
          <w:b/>
          <w:caps/>
          <w:spacing w:val="20"/>
          <w:sz w:val="28"/>
        </w:rPr>
        <w:t>заявка на участие в аукционе</w:t>
      </w:r>
    </w:p>
    <w:p>
      <w:pPr>
        <w:pStyle w:val="Normal"/>
        <w:jc w:val="center"/>
        <w:rPr>
          <w:i/>
          <w:i/>
        </w:rPr>
      </w:pPr>
      <w:r>
        <w:rPr>
          <w:i/>
        </w:rPr>
      </w:r>
    </w:p>
    <w:p>
      <w:pPr>
        <w:pStyle w:val="Normal"/>
        <w:ind w:firstLine="567"/>
        <w:rPr/>
      </w:pPr>
      <w:r>
        <w:rPr/>
        <w:t>Изучив Извещение о проведении Аукциона на повышение на право заключения договору купли-продажи имущества АО «Загорская ГАЭС-2»</w:t>
      </w:r>
      <w:r>
        <w:rPr>
          <w:i/>
        </w:rPr>
        <w:t xml:space="preserve"> </w:t>
      </w:r>
      <w:r>
        <w:rPr/>
        <w:t>и Документацию о продаже имущества АО «Загорская ГАЭС-2» (включая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
    <w:p>
      <w:pPr>
        <w:pStyle w:val="Normal"/>
        <w:rPr/>
      </w:pPr>
      <w:r>
        <w:rPr/>
        <w:t>______________________________________________________________________________,</w:t>
      </w:r>
    </w:p>
    <w:p>
      <w:pPr>
        <w:pStyle w:val="Normal"/>
        <w:jc w:val="center"/>
        <w:rPr>
          <w:vertAlign w:val="superscript"/>
        </w:rPr>
      </w:pPr>
      <w:r>
        <w:rPr>
          <w:vertAlign w:val="superscript"/>
        </w:rPr>
        <w:t>(полное наименование Заявителя с указанием организационно-правовой формы, ИНН, КПП, ОГРН)</w:t>
      </w:r>
    </w:p>
    <w:p>
      <w:pPr>
        <w:pStyle w:val="Normal"/>
        <w:spacing w:before="0" w:after="0"/>
        <w:rPr>
          <w:sz w:val="24"/>
          <w:szCs w:val="24"/>
        </w:rPr>
      </w:pPr>
      <w:r>
        <w:rPr/>
        <w:t xml:space="preserve">или </w:t>
      </w:r>
      <w:r>
        <w:rPr>
          <w:sz w:val="24"/>
          <w:szCs w:val="24"/>
        </w:rPr>
        <w:t>________________________________________________________________________________,</w:t>
      </w:r>
    </w:p>
    <w:p>
      <w:pPr>
        <w:pStyle w:val="Normal"/>
        <w:jc w:val="center"/>
        <w:rPr>
          <w:sz w:val="24"/>
          <w:szCs w:val="24"/>
          <w:vertAlign w:val="superscript"/>
        </w:rPr>
      </w:pPr>
      <w:r>
        <w:rPr>
          <w:sz w:val="24"/>
          <w:szCs w:val="24"/>
          <w:vertAlign w:val="superscript"/>
        </w:rPr>
        <w:t>(фамилия, имя, отчество и паспортные данные физического лица Заявителя)</w:t>
      </w:r>
    </w:p>
    <w:p>
      <w:pPr>
        <w:pStyle w:val="Normal"/>
        <w:rPr/>
      </w:pPr>
      <w:r>
        <w:rPr/>
        <w:t>находящийся / зарегистрированный по адресу:</w:t>
      </w:r>
    </w:p>
    <w:p>
      <w:pPr>
        <w:pStyle w:val="Normal"/>
        <w:rPr/>
      </w:pPr>
      <w:r>
        <w:rPr/>
        <w:t>______________________________________________________________________________,</w:t>
      </w:r>
    </w:p>
    <w:p>
      <w:pPr>
        <w:pStyle w:val="Normal"/>
        <w:jc w:val="center"/>
        <w:rPr>
          <w:vertAlign w:val="superscript"/>
        </w:rPr>
      </w:pPr>
      <w:r>
        <w:rPr>
          <w:vertAlign w:val="superscript"/>
        </w:rPr>
        <w:t>(место нахождения / адрес регистрации Заявителя)</w:t>
      </w:r>
    </w:p>
    <w:p>
      <w:pPr>
        <w:pStyle w:val="Normal"/>
        <w:rPr/>
      </w:pPr>
      <w:r>
        <w:rPr/>
        <w:t xml:space="preserve">выражает свою заинтересованность в участии в Аукционе на повышение на право заключения Договора купли-продажи комплекса объектов производственной площадки со следующей стоимостью (ценой) Заявки: </w:t>
      </w:r>
    </w:p>
    <w:p>
      <w:pPr>
        <w:pStyle w:val="Normal"/>
        <w:rPr/>
      </w:pPr>
      <w:r>
        <w:rPr/>
      </w:r>
    </w:p>
    <w:tbl>
      <w:tblPr>
        <w:tblW w:w="9923" w:type="dxa"/>
        <w:jc w:val="left"/>
        <w:tblInd w:w="221" w:type="dxa"/>
        <w:tblLayout w:type="fixed"/>
        <w:tblCellMar>
          <w:top w:w="0" w:type="dxa"/>
          <w:left w:w="108" w:type="dxa"/>
          <w:bottom w:w="0" w:type="dxa"/>
          <w:right w:w="108" w:type="dxa"/>
        </w:tblCellMar>
        <w:tblLook w:val="01e0" w:noHBand="0" w:noVBand="0" w:firstColumn="1" w:lastRow="1" w:lastColumn="1" w:firstRow="1"/>
      </w:tblPr>
      <w:tblGrid>
        <w:gridCol w:w="4967"/>
        <w:gridCol w:w="4955"/>
      </w:tblGrid>
      <w:tr>
        <w:trPr>
          <w:trHeight w:val="449" w:hRule="atLeast"/>
          <w:cantSplit w:val="true"/>
        </w:trPr>
        <w:tc>
          <w:tcPr>
            <w:tcW w:w="49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pPr>
            <w:bookmarkStart w:id="450" w:name="_Hlk532132247"/>
            <w:r>
              <w:rPr/>
              <w:t>Наименование Предмета продажи согласно Документации</w:t>
            </w:r>
          </w:p>
        </w:tc>
        <w:tc>
          <w:tcPr>
            <w:tcW w:w="49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pPr>
            <w:r>
              <w:rPr/>
              <w:t>Стоимость (цена) Заявки по Предмету продажи (первая ценовая ставка в рамках процедуры Аукциона*) с учетом НДС, руб.</w:t>
            </w:r>
          </w:p>
        </w:tc>
      </w:tr>
      <w:tr>
        <w:trPr>
          <w:trHeight w:val="761" w:hRule="atLeast"/>
          <w:cantSplit w:val="true"/>
        </w:trPr>
        <w:tc>
          <w:tcPr>
            <w:tcW w:w="49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pPr>
            <w:r>
              <w:rPr/>
            </w:r>
          </w:p>
        </w:tc>
        <w:tc>
          <w:tcPr>
            <w:tcW w:w="49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pPr>
            <w:r>
              <w:rPr/>
              <w:t>…</w:t>
            </w:r>
            <w:r>
              <w:rPr/>
              <w:t>. (…..)</w:t>
            </w:r>
          </w:p>
        </w:tc>
      </w:tr>
    </w:tbl>
    <w:p>
      <w:pPr>
        <w:pStyle w:val="Normal"/>
        <w:ind w:firstLine="567"/>
        <w:rPr>
          <w:i/>
          <w:i/>
        </w:rPr>
      </w:pPr>
      <w:r>
        <w:rPr>
          <w:i/>
          <w:highlight w:val="lightGray"/>
        </w:rPr>
        <w:t xml:space="preserve">*Цена Заявки может быть выше установленной Организатором начальной цены продажи на любую сумму в пределах шага аукциона, указанного в пункте </w:t>
      </w:r>
      <w:r>
        <w:rPr>
          <w:i/>
          <w:highlight w:val="lightGray"/>
        </w:rPr>
        <w:fldChar w:fldCharType="begin"/>
      </w:r>
      <w:r>
        <w:rPr>
          <w:i/>
          <w:highlight w:val="lightGray"/>
        </w:rPr>
        <w:instrText xml:space="preserve"> REF _Ref516229843 \r \h </w:instrText>
      </w:r>
      <w:r>
        <w:rPr>
          <w:i/>
          <w:highlight w:val="lightGray"/>
        </w:rPr>
        <w:fldChar w:fldCharType="separate"/>
      </w:r>
      <w:r>
        <w:rPr>
          <w:i/>
          <w:highlight w:val="lightGray"/>
        </w:rPr>
        <w:t>1.2.10</w:t>
      </w:r>
      <w:r>
        <w:rPr>
          <w:i/>
          <w:highlight w:val="lightGray"/>
        </w:rPr>
        <w:fldChar w:fldCharType="end"/>
      </w:r>
      <w:r>
        <w:rPr>
          <w:i/>
          <w:highlight w:val="lightGray"/>
        </w:rPr>
        <w:t>.</w:t>
      </w:r>
      <w:bookmarkEnd w:id="450"/>
    </w:p>
    <w:p>
      <w:pPr>
        <w:pStyle w:val="Normal"/>
        <w:ind w:firstLine="567"/>
        <w:rPr/>
      </w:pPr>
      <w:r>
        <w:rPr/>
        <w:t>Настоящая Заявка, включая ценовое предложение, имеет правовой статус оферты и действует вплоть до истечения срока, отведенного на заключение Договора, но не менее чем в течение 90 (девяносто) календарных дней с даты окончания срока подачи Заявок, установленной в Документации.</w:t>
      </w:r>
      <w:bookmarkStart w:id="451" w:name="_Hlt440565644"/>
      <w:bookmarkEnd w:id="451"/>
    </w:p>
    <w:p>
      <w:pPr>
        <w:pStyle w:val="Normal"/>
        <w:ind w:firstLine="567"/>
        <w:rPr>
          <w:i/>
          <w:i/>
          <w:highlight w:val="lightGray"/>
          <w:shd w:fill="BFBFBF" w:val="clear"/>
        </w:rPr>
      </w:pPr>
      <w:r>
        <w:rPr/>
        <w:t>В случае признания Аукциона не состоявшимся, указанная в Заявке стоимость (цена) является первой ценовой ставкой в рамках процедуры Аукциона.</w:t>
      </w:r>
    </w:p>
    <w:p>
      <w:pPr>
        <w:pStyle w:val="Normal"/>
        <w:tabs>
          <w:tab w:val="clear" w:pos="567"/>
          <w:tab w:val="left" w:pos="993" w:leader="none"/>
        </w:tabs>
        <w:ind w:firstLine="567"/>
        <w:rPr/>
      </w:pPr>
      <w:r>
        <w:rPr/>
        <w:t>Настоящим Заявитель:</w:t>
      </w:r>
    </w:p>
    <w:p>
      <w:pPr>
        <w:pStyle w:val="ListParagraph"/>
        <w:numPr>
          <w:ilvl w:val="0"/>
          <w:numId w:val="12"/>
        </w:numPr>
        <w:tabs>
          <w:tab w:val="clear" w:pos="567"/>
          <w:tab w:val="left" w:pos="993" w:leader="none"/>
        </w:tabs>
        <w:ind w:left="0" w:firstLine="567"/>
        <w:rPr>
          <w:rFonts w:ascii="Times New Roman" w:hAnsi="Times New Roman"/>
          <w:sz w:val="26"/>
        </w:rPr>
      </w:pPr>
      <w:r>
        <w:rPr>
          <w:rFonts w:ascii="Times New Roman" w:hAnsi="Times New Roman"/>
          <w:sz w:val="26"/>
        </w:rPr>
        <w:t>подтверждает, что ознакомлен с Документацией и не имеет к ней претензий;</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 xml:space="preserve">заверяет, что в отношении </w:t>
      </w:r>
      <w:r>
        <w:rPr>
          <w:rFonts w:ascii="Times New Roman" w:hAnsi="Times New Roman"/>
          <w:iCs/>
          <w:sz w:val="26"/>
        </w:rPr>
        <w:t xml:space="preserve">_________________________ </w:t>
      </w:r>
      <w:r>
        <w:rPr>
          <w:rFonts w:ascii="Times New Roman" w:hAnsi="Times New Roman"/>
          <w:i/>
          <w:sz w:val="26"/>
          <w:highlight w:val="lightGray"/>
          <w:shd w:fill="BFBFBF" w:val="clear"/>
        </w:rPr>
        <w:t>(наименование Заявителя с указанием организационно-правовой формы / ФИО)</w:t>
      </w:r>
      <w:r>
        <w:rPr>
          <w:rFonts w:ascii="Times New Roman" w:hAnsi="Times New Roman"/>
          <w:i/>
          <w:sz w:val="26"/>
        </w:rPr>
        <w:t xml:space="preserve"> </w:t>
      </w:r>
      <w:r>
        <w:rPr>
          <w:rFonts w:ascii="Times New Roman" w:hAnsi="Times New Roman"/>
          <w:sz w:val="26"/>
        </w:rPr>
        <w:t>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экономическая деятельность не приостановлена;</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Аукциона;</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Аукциона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согласен с тем, что в случае предоставления в Заявке недостоверных сведений, Заявитель может быть недопущен до участия в Аукционе, а в случае, если недостоверность предоставленных в Заявке сведений будет выявлена после заключения Договора купли-продажи, такой Договор может быть расторгнут Продавцом;</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признаны лучшими (либо в случае признания Аукциона несостоявшимся),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Аукциона либо первой ценовой ставкой, указанной выше – в случае признания Аукциона несостоявшимся;</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в случае если предложение / предложения по цене, указанное / указанные в настоящей Заявке, будут лучшими после предложения / предложений победителя Аукциона, а победитель Аукциона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итоговым ценовым предложением по результатам проведения Аукциона;</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согласен с тем, что внесенная сумма задатка, если он предусмотрен Документацией, Участнику не возвращается и перечисляется Продавцу в случае признания Участника победителем Аукциона (или принятия решения о заключении Договора в установленных Документациях случаях), а также в случае уклонения или отказа победителя Аукциона от заключения Договора купли-продажи в установленном Документацией порядке.</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(Продавцом) уполномочено следующее лицо: ______________________________________________________________________________,</w:t>
      </w:r>
    </w:p>
    <w:p>
      <w:pPr>
        <w:pStyle w:val="Normal"/>
        <w:tabs>
          <w:tab w:val="clear" w:pos="567"/>
          <w:tab w:val="left" w:pos="993" w:leader="none"/>
        </w:tabs>
        <w:jc w:val="center"/>
        <w:rPr>
          <w:szCs w:val="28"/>
          <w:vertAlign w:val="superscript"/>
        </w:rPr>
      </w:pPr>
      <w:r>
        <w:rPr>
          <w:szCs w:val="28"/>
          <w:vertAlign w:val="superscript"/>
        </w:rPr>
        <w:t>(Ф.И.О., должность и контактная информацию уполномоченного лица, включая телефон и адрес электронной почты)</w:t>
      </w:r>
    </w:p>
    <w:p>
      <w:pPr>
        <w:pStyle w:val="Normal"/>
        <w:tabs>
          <w:tab w:val="clear" w:pos="567"/>
          <w:tab w:val="left" w:pos="993" w:leader="none"/>
        </w:tabs>
        <w:rPr/>
      </w:pPr>
      <w:r>
        <w:rPr/>
        <w:t xml:space="preserve">которому сообщаются все сведения и информация о проведении Аукциона просим сообщать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______________ </w:t>
      </w:r>
      <w:r>
        <w:rPr>
          <w:i/>
          <w:highlight w:val="lightGray"/>
          <w:shd w:fill="BFBFBF" w:val="clear"/>
        </w:rPr>
        <w:t>(наименование / ФИО Заявителя)</w:t>
      </w:r>
      <w:r>
        <w:rPr/>
        <w:t>.</w:t>
      </w:r>
    </w:p>
    <w:p>
      <w:pPr>
        <w:pStyle w:val="ListParagraph"/>
        <w:numPr>
          <w:ilvl w:val="0"/>
          <w:numId w:val="12"/>
        </w:numPr>
        <w:tabs>
          <w:tab w:val="clear" w:pos="567"/>
          <w:tab w:val="left" w:pos="993" w:leader="none"/>
        </w:tabs>
        <w:ind w:left="0" w:firstLine="567"/>
        <w:jc w:val="both"/>
        <w:rPr>
          <w:rFonts w:ascii="Times New Roman" w:hAnsi="Times New Roman"/>
          <w:sz w:val="26"/>
        </w:rPr>
      </w:pPr>
      <w:r>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pPr>
        <w:pStyle w:val="Normal"/>
        <w:tabs>
          <w:tab w:val="clear" w:pos="567"/>
          <w:tab w:val="left" w:pos="0" w:leader="none"/>
        </w:tabs>
        <w:rPr/>
      </w:pPr>
      <w:r>
        <w:rPr/>
      </w:r>
    </w:p>
    <w:p>
      <w:pPr>
        <w:pStyle w:val="Normal"/>
        <w:rPr/>
      </w:pPr>
      <w:bookmarkStart w:id="452" w:name="_Ref34763774"/>
      <w:bookmarkEnd w:id="452"/>
      <w:r>
        <w:rPr/>
        <w:t>____________________________________</w:t>
      </w:r>
    </w:p>
    <w:p>
      <w:pPr>
        <w:pStyle w:val="Normal"/>
        <w:tabs>
          <w:tab w:val="clear" w:pos="567"/>
          <w:tab w:val="left" w:pos="4820" w:leader="none"/>
        </w:tabs>
        <w:ind w:right="3684" w:hanging="0"/>
        <w:jc w:val="center"/>
        <w:rPr>
          <w:vertAlign w:val="superscript"/>
        </w:rPr>
      </w:pPr>
      <w:r>
        <w:rPr>
          <w:vertAlign w:val="superscript"/>
        </w:rPr>
        <w:t>(подпись, М.П.)</w:t>
      </w:r>
    </w:p>
    <w:p>
      <w:pPr>
        <w:pStyle w:val="Normal"/>
        <w:rPr/>
      </w:pPr>
      <w:r>
        <w:rPr/>
        <w:t>____________________________________</w:t>
      </w:r>
    </w:p>
    <w:p>
      <w:pPr>
        <w:pStyle w:val="Normal"/>
        <w:ind w:right="5527" w:hanging="0"/>
        <w:jc w:val="center"/>
        <w:rPr>
          <w:vertAlign w:val="superscript"/>
        </w:rPr>
      </w:pPr>
      <w:r>
        <w:rPr>
          <w:vertAlign w:val="superscript"/>
        </w:rPr>
        <w:t>(фамилия, имя, отчество подписавшего, должность)</w:t>
      </w:r>
    </w:p>
    <w:p>
      <w:pPr>
        <w:pStyle w:val="Normal"/>
        <w:pBdr>
          <w:bottom w:val="single" w:sz="4" w:space="1" w:color="000000"/>
        </w:pBdr>
        <w:shd w:val="clear" w:color="auto" w:fill="D9D9D9" w:themeFill="background1" w:themeFillShade="d9"/>
        <w:spacing w:before="120" w:after="120"/>
        <w:jc w:val="center"/>
        <w:rPr>
          <w:rFonts w:eastAsia="Calibri" w:eastAsiaTheme="minorHAnsi"/>
          <w:lang w:eastAsia="en-US"/>
        </w:rPr>
      </w:pPr>
      <w:r>
        <w:rPr>
          <w:rFonts w:eastAsia="Calibri" w:eastAsiaTheme="minorHAnsi"/>
          <w:lang w:eastAsia="en-US"/>
        </w:rPr>
        <w:t>конец формы</w:t>
      </w:r>
      <w:r>
        <w:br w:type="page"/>
      </w:r>
    </w:p>
    <w:p>
      <w:pPr>
        <w:pStyle w:val="Style25"/>
        <w:widowControl w:val="false"/>
        <w:numPr>
          <w:ilvl w:val="2"/>
          <w:numId w:val="3"/>
        </w:numPr>
        <w:tabs>
          <w:tab w:val="clear" w:pos="567"/>
          <w:tab w:val="left" w:pos="1134" w:leader="none"/>
        </w:tabs>
        <w:spacing w:before="0" w:after="0"/>
        <w:ind w:left="1418" w:hanging="1418"/>
        <w:rPr>
          <w:b/>
        </w:rPr>
      </w:pPr>
      <w:r>
        <w:rPr>
          <w:b/>
        </w:rPr>
        <w:t>Инструкции по заполнению Заявки</w:t>
      </w:r>
    </w:p>
    <w:p>
      <w:pPr>
        <w:pStyle w:val="Style26"/>
        <w:numPr>
          <w:ilvl w:val="3"/>
          <w:numId w:val="3"/>
        </w:numPr>
        <w:rPr/>
      </w:pPr>
      <w:r>
        <w:rPr/>
        <w:t>Заявку следует оформить на официальном бланке Заявителя / Участника, если применимо. Заявитель / Участник самостоятельно присваивает Заявке дату и номер в соответствии с принятыми у него правилами документооборота.</w:t>
      </w:r>
    </w:p>
    <w:p>
      <w:pPr>
        <w:pStyle w:val="Style26"/>
        <w:numPr>
          <w:ilvl w:val="3"/>
          <w:numId w:val="3"/>
        </w:numPr>
        <w:rPr/>
      </w:pPr>
      <w:r>
        <w:rPr/>
        <w:t>Заявитель / Участник должен указать свое ФИО или полное наименование (с указанием организационно-правовой формы) и адрес регистрации или место нахождения, ИНН, КПП, ОГРН, что применимо.</w:t>
      </w:r>
    </w:p>
    <w:p>
      <w:pPr>
        <w:pStyle w:val="Style26"/>
        <w:numPr>
          <w:ilvl w:val="3"/>
          <w:numId w:val="3"/>
        </w:numPr>
        <w:rPr/>
      </w:pPr>
      <w:r>
        <w:rPr/>
        <w:t>Заявка на участие в Аукционе должна быть подписана и скреплена печатью (при наличии).</w:t>
      </w:r>
    </w:p>
    <w:p>
      <w:pPr>
        <w:pStyle w:val="Normal"/>
        <w:rPr/>
      </w:pPr>
      <w:r>
        <w:rPr/>
      </w:r>
      <w:r>
        <w:br w:type="page"/>
      </w:r>
    </w:p>
    <w:p>
      <w:pPr>
        <w:pStyle w:val="Style25"/>
        <w:widowControl w:val="false"/>
        <w:numPr>
          <w:ilvl w:val="2"/>
          <w:numId w:val="3"/>
        </w:numPr>
        <w:tabs>
          <w:tab w:val="clear" w:pos="567"/>
          <w:tab w:val="left" w:pos="1134" w:leader="none"/>
        </w:tabs>
        <w:spacing w:before="0" w:after="0"/>
        <w:ind w:left="1418" w:hanging="1418"/>
        <w:rPr>
          <w:b/>
        </w:rPr>
      </w:pPr>
      <w:bookmarkStart w:id="453" w:name="_Ref524517014"/>
      <w:bookmarkStart w:id="454" w:name="_Ref34763774_Копия_1"/>
      <w:bookmarkEnd w:id="454"/>
      <w:r>
        <w:rPr>
          <w:b/>
        </w:rPr>
        <w:t>Форма согласия Заявителя на приобретение предмета продажи</w:t>
      </w:r>
      <w:bookmarkEnd w:id="453"/>
    </w:p>
    <w:p>
      <w:pPr>
        <w:pStyle w:val="Normal"/>
        <w:keepNext w:val="true"/>
        <w:pBdr>
          <w:top w:val="single" w:sz="4" w:space="1" w:color="000000"/>
        </w:pBdr>
        <w:shd w:val="clear" w:color="auto" w:fill="D9D9D9" w:themeFill="background1" w:themeFillShade="d9"/>
        <w:spacing w:before="120" w:after="120"/>
        <w:jc w:val="center"/>
        <w:rPr>
          <w:rFonts w:eastAsia="Calibri" w:eastAsiaTheme="minorHAnsi"/>
          <w:lang w:eastAsia="en-US"/>
        </w:rPr>
      </w:pPr>
      <w:r>
        <w:rPr>
          <w:rFonts w:eastAsia="Calibri" w:eastAsiaTheme="minorHAnsi"/>
          <w:lang w:eastAsia="en-US"/>
        </w:rPr>
        <w:t>начало формы</w:t>
      </w:r>
    </w:p>
    <w:p>
      <w:pPr>
        <w:pStyle w:val="Normal"/>
        <w:ind w:right="5243" w:hanging="0"/>
        <w:rPr/>
      </w:pPr>
      <w:r>
        <w:rPr/>
      </w:r>
    </w:p>
    <w:p>
      <w:pPr>
        <w:pStyle w:val="Normal"/>
        <w:ind w:right="5243" w:hanging="0"/>
        <w:rPr/>
      </w:pPr>
      <w:r>
        <w:rPr/>
        <w:t>«_____» ______________ 20__ года</w:t>
      </w:r>
    </w:p>
    <w:p>
      <w:pPr>
        <w:pStyle w:val="Normal"/>
        <w:ind w:right="5243" w:hanging="0"/>
        <w:rPr/>
      </w:pPr>
      <w:r>
        <w:rPr/>
        <w:t>№</w:t>
      </w:r>
      <w:r>
        <w:rPr/>
        <w:t>________________________</w:t>
      </w:r>
    </w:p>
    <w:p>
      <w:pPr>
        <w:pStyle w:val="Normal"/>
        <w:ind w:right="5243" w:hanging="0"/>
        <w:rPr/>
      </w:pPr>
      <w:r>
        <w:rPr/>
      </w:r>
    </w:p>
    <w:p>
      <w:pPr>
        <w:pStyle w:val="Normal"/>
        <w:jc w:val="center"/>
        <w:rPr>
          <w:b/>
          <w:caps/>
          <w:spacing w:val="20"/>
          <w:sz w:val="28"/>
        </w:rPr>
      </w:pPr>
      <w:r>
        <w:rPr>
          <w:b/>
          <w:caps/>
          <w:spacing w:val="20"/>
          <w:sz w:val="28"/>
        </w:rPr>
        <w:t>согласие Заявителя на приобретение предмета продажи</w:t>
      </w:r>
    </w:p>
    <w:p>
      <w:pPr>
        <w:pStyle w:val="Normal"/>
        <w:jc w:val="center"/>
        <w:rPr/>
      </w:pPr>
      <w:r>
        <w:rPr/>
      </w:r>
    </w:p>
    <w:p>
      <w:pPr>
        <w:pStyle w:val="Normal"/>
        <w:ind w:firstLine="567"/>
        <w:rPr/>
      </w:pPr>
      <w:r>
        <w:rPr/>
        <w:t>Изучив Извещение о проведении Аукциона на повышение на право заключения договору купли-продажи имущества АО «Загорская ГАЭС-2» и Документацию о продаже имущества АО «Загорская ГАЭС-2» (включая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
    <w:p>
      <w:pPr>
        <w:pStyle w:val="Normal"/>
        <w:rPr/>
      </w:pPr>
      <w:r>
        <w:rPr/>
        <w:t>______________________________________________________________________________,</w:t>
      </w:r>
    </w:p>
    <w:p>
      <w:pPr>
        <w:pStyle w:val="Normal"/>
        <w:jc w:val="center"/>
        <w:rPr>
          <w:vertAlign w:val="superscript"/>
        </w:rPr>
      </w:pPr>
      <w:r>
        <w:rPr>
          <w:vertAlign w:val="superscript"/>
        </w:rPr>
        <w:t>(полное наименование Заявителя с указанием организационно-правовой формы, ИНН, КПП, ОГРН / ФИО)</w:t>
      </w:r>
    </w:p>
    <w:p>
      <w:pPr>
        <w:pStyle w:val="Normal"/>
        <w:rPr/>
      </w:pPr>
      <w:r>
        <w:rPr/>
        <w:t>находящийся / зарегистрированный по адресу:</w:t>
      </w:r>
    </w:p>
    <w:p>
      <w:pPr>
        <w:pStyle w:val="Normal"/>
        <w:rPr/>
      </w:pPr>
      <w:r>
        <w:rPr/>
        <w:t>______________________________________________________________________________,</w:t>
      </w:r>
    </w:p>
    <w:p>
      <w:pPr>
        <w:pStyle w:val="Normal"/>
        <w:jc w:val="center"/>
        <w:rPr>
          <w:vertAlign w:val="superscript"/>
        </w:rPr>
      </w:pPr>
      <w:r>
        <w:rPr>
          <w:vertAlign w:val="superscript"/>
        </w:rPr>
        <w:t>(место нахождения / адрес регистрации Заявителя)</w:t>
      </w:r>
    </w:p>
    <w:p>
      <w:pPr>
        <w:pStyle w:val="Normal"/>
        <w:ind w:firstLine="567"/>
        <w:rPr/>
      </w:pPr>
      <w:r>
        <w:rPr/>
        <w:t xml:space="preserve">выражает свою намерение участия в Аукционе на повышение на право заключения Договора купли-продажи комплекса объектов производственной площадки </w:t>
      </w:r>
      <w:r>
        <w:rPr>
          <w:i/>
          <w:highlight w:val="lightGray"/>
          <w:shd w:fill="FFFF99" w:val="clear"/>
        </w:rPr>
        <w:t>(указывается Предмет продажи (Предмет Договора)</w:t>
      </w:r>
      <w:r>
        <w:rPr/>
        <w:t xml:space="preserve"> и приобретения Предмета продажи на условиях Аукциона, Документации и Договора купли-продажи.</w:t>
      </w:r>
    </w:p>
    <w:p>
      <w:pPr>
        <w:pStyle w:val="Normal"/>
        <w:rPr/>
      </w:pPr>
      <w:r>
        <w:rPr/>
      </w:r>
      <w:bookmarkStart w:id="455" w:name="_Toc515659368"/>
      <w:bookmarkStart w:id="456" w:name="_Toc515659255"/>
      <w:bookmarkStart w:id="457" w:name="_Toc515659366"/>
      <w:bookmarkStart w:id="458" w:name="_Toc515659365"/>
      <w:bookmarkStart w:id="459" w:name="_Toc515659372"/>
      <w:bookmarkStart w:id="460" w:name="_Toc515659371"/>
      <w:bookmarkStart w:id="461" w:name="_Toc515659370"/>
      <w:bookmarkStart w:id="462" w:name="_Toc515659369"/>
      <w:bookmarkStart w:id="463" w:name="_Toc515659257"/>
      <w:bookmarkStart w:id="464" w:name="_Toc515659364"/>
      <w:bookmarkStart w:id="465" w:name="_Toc515659320"/>
      <w:bookmarkStart w:id="466" w:name="_Toc515659308"/>
      <w:bookmarkStart w:id="467" w:name="_Toc515659367"/>
      <w:bookmarkStart w:id="468" w:name="_Toc515659259"/>
      <w:bookmarkStart w:id="469" w:name="_Toc515659363"/>
      <w:bookmarkStart w:id="470" w:name="_Toc515659248"/>
      <w:bookmarkStart w:id="471" w:name="_Toc515659258"/>
      <w:bookmarkStart w:id="472" w:name="_Toc515659246"/>
      <w:bookmarkStart w:id="473" w:name="_Toc515659256"/>
      <w:bookmarkStart w:id="474" w:name="_Toc515659250"/>
      <w:bookmarkStart w:id="475" w:name="_Toc515659251"/>
      <w:bookmarkStart w:id="476" w:name="_Toc515659252"/>
      <w:bookmarkStart w:id="477" w:name="_Toc515659247"/>
      <w:bookmarkStart w:id="478" w:name="_Toc515659254"/>
      <w:bookmarkStart w:id="479" w:name="_Toc515659243"/>
      <w:bookmarkStart w:id="480" w:name="_Toc515659241"/>
      <w:bookmarkStart w:id="481" w:name="_Toc515659240"/>
      <w:bookmarkStart w:id="482" w:name="_Toc515659253"/>
      <w:bookmarkStart w:id="483" w:name="_Toc515659245"/>
      <w:bookmarkStart w:id="484" w:name="_Toc515659244"/>
      <w:bookmarkStart w:id="485" w:name="_Toc515659249"/>
      <w:bookmarkStart w:id="486" w:name="_Toc515659242"/>
      <w:bookmarkStart w:id="487" w:name="_Toc515659368"/>
      <w:bookmarkStart w:id="488" w:name="_Toc515659255"/>
      <w:bookmarkStart w:id="489" w:name="_Toc515659366"/>
      <w:bookmarkStart w:id="490" w:name="_Toc515659365"/>
      <w:bookmarkStart w:id="491" w:name="_Toc515659372"/>
      <w:bookmarkStart w:id="492" w:name="_Toc515659371"/>
      <w:bookmarkStart w:id="493" w:name="_Toc515659370"/>
      <w:bookmarkStart w:id="494" w:name="_Toc515659369"/>
      <w:bookmarkStart w:id="495" w:name="_Toc515659257"/>
      <w:bookmarkStart w:id="496" w:name="_Toc515659364"/>
      <w:bookmarkStart w:id="497" w:name="_Toc515659320"/>
      <w:bookmarkStart w:id="498" w:name="_Toc515659308"/>
      <w:bookmarkStart w:id="499" w:name="_Toc515659367"/>
      <w:bookmarkStart w:id="500" w:name="_Toc515659259"/>
      <w:bookmarkStart w:id="501" w:name="_Toc515659363"/>
      <w:bookmarkStart w:id="502" w:name="_Toc515659248"/>
      <w:bookmarkStart w:id="503" w:name="_Toc515659258"/>
      <w:bookmarkStart w:id="504" w:name="_Toc515659246"/>
      <w:bookmarkStart w:id="505" w:name="_Toc515659256"/>
      <w:bookmarkStart w:id="506" w:name="_Toc515659250"/>
      <w:bookmarkStart w:id="507" w:name="_Toc515659251"/>
      <w:bookmarkStart w:id="508" w:name="_Toc515659252"/>
      <w:bookmarkStart w:id="509" w:name="_Toc515659247"/>
      <w:bookmarkStart w:id="510" w:name="_Toc515659254"/>
      <w:bookmarkStart w:id="511" w:name="_Toc515659243"/>
      <w:bookmarkStart w:id="512" w:name="_Toc515659241"/>
      <w:bookmarkStart w:id="513" w:name="_Toc515659240"/>
      <w:bookmarkStart w:id="514" w:name="_Toc515659253"/>
      <w:bookmarkStart w:id="515" w:name="_Toc515659245"/>
      <w:bookmarkStart w:id="516" w:name="_Toc515659244"/>
      <w:bookmarkStart w:id="517" w:name="_Toc515659249"/>
      <w:bookmarkStart w:id="518" w:name="_Toc515659242"/>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ormal"/>
        <w:rPr/>
      </w:pPr>
      <w:r>
        <w:rPr/>
      </w:r>
    </w:p>
    <w:p>
      <w:pPr>
        <w:pStyle w:val="Normal"/>
        <w:rPr/>
      </w:pPr>
      <w:r>
        <w:rPr/>
        <w:t>____________________________________</w:t>
      </w:r>
    </w:p>
    <w:p>
      <w:pPr>
        <w:pStyle w:val="Normal"/>
        <w:ind w:left="1134" w:right="3684" w:firstLine="567"/>
        <w:rPr>
          <w:vertAlign w:val="superscript"/>
        </w:rPr>
      </w:pPr>
      <w:r>
        <w:rPr>
          <w:vertAlign w:val="superscript"/>
        </w:rPr>
        <w:t>(подпись, М.П.)</w:t>
      </w:r>
    </w:p>
    <w:p>
      <w:pPr>
        <w:pStyle w:val="Normal"/>
        <w:rPr/>
      </w:pPr>
      <w:r>
        <w:rPr/>
        <w:t>____________________________________</w:t>
      </w:r>
    </w:p>
    <w:p>
      <w:pPr>
        <w:pStyle w:val="Normal"/>
        <w:ind w:right="3684" w:firstLine="567"/>
        <w:rPr>
          <w:vertAlign w:val="superscript"/>
        </w:rPr>
      </w:pPr>
      <w:r>
        <w:rPr>
          <w:vertAlign w:val="superscript"/>
        </w:rPr>
        <w:t>(фамилия, имя, отчество подписавшего, должность)</w:t>
      </w:r>
    </w:p>
    <w:p>
      <w:pPr>
        <w:pStyle w:val="Normal"/>
        <w:rPr/>
      </w:pPr>
      <w:r>
        <w:rPr/>
      </w:r>
    </w:p>
    <w:p>
      <w:pPr>
        <w:pStyle w:val="Heading1"/>
        <w:rPr>
          <w:rFonts w:ascii="Times New Roman" w:hAnsi="Times New Roman"/>
          <w:sz w:val="28"/>
          <w:szCs w:val="28"/>
        </w:rPr>
      </w:pPr>
      <w:bookmarkStart w:id="519" w:name="_Toc187829931"/>
      <w:bookmarkStart w:id="520" w:name="_Toc502257246"/>
      <w:bookmarkStart w:id="521" w:name="_Toc502257251"/>
      <w:bookmarkStart w:id="522" w:name="_Toc502257230"/>
      <w:bookmarkStart w:id="523" w:name="_Toc502257248"/>
      <w:bookmarkStart w:id="524" w:name="_Toc502257245"/>
      <w:bookmarkStart w:id="525" w:name="_Toc502257249"/>
      <w:bookmarkStart w:id="526" w:name="_Toc502257244"/>
      <w:bookmarkStart w:id="527" w:name="_Toc502257247"/>
      <w:bookmarkStart w:id="528" w:name="_Toc502257250"/>
      <w:bookmarkStart w:id="529" w:name="_Toc502257237"/>
      <w:bookmarkStart w:id="530" w:name="_Toc502257235"/>
      <w:bookmarkStart w:id="531" w:name="_Toc502257243"/>
      <w:bookmarkStart w:id="532" w:name="_Toc502257236"/>
      <w:bookmarkStart w:id="533" w:name="_Toc501038137"/>
      <w:bookmarkStart w:id="534" w:name="_Toc502257234"/>
      <w:bookmarkStart w:id="535" w:name="_Toc502257242"/>
      <w:bookmarkStart w:id="536" w:name="_Toc502257232"/>
      <w:bookmarkStart w:id="537" w:name="_Toc502257233"/>
      <w:bookmarkStart w:id="538" w:name="_Toc502257240"/>
      <w:bookmarkStart w:id="539" w:name="_Toc502257239"/>
      <w:bookmarkStart w:id="540" w:name="_Toc502257238"/>
      <w:bookmarkStart w:id="541" w:name="_Toc502257231"/>
      <w:bookmarkStart w:id="542" w:name="_Toc502257241"/>
      <w:bookmarkStart w:id="543" w:name="_Toc501038136"/>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Fonts w:ascii="Times New Roman" w:hAnsi="Times New Roman"/>
          <w:sz w:val="28"/>
          <w:szCs w:val="28"/>
        </w:rPr>
        <w:t>Извещение о проведении Аукциона на повышение на право заключения договора купли-продажи имущества АО «Загорская ГАЭС-2»</w:t>
      </w:r>
      <w:bookmarkEnd w:id="519"/>
    </w:p>
    <w:tbl>
      <w:tblPr>
        <w:tblW w:w="10206" w:type="dxa"/>
        <w:jc w:val="left"/>
        <w:tblInd w:w="216" w:type="dxa"/>
        <w:tblLayout w:type="fixed"/>
        <w:tblCellMar>
          <w:top w:w="0" w:type="dxa"/>
          <w:left w:w="108" w:type="dxa"/>
          <w:bottom w:w="0" w:type="dxa"/>
          <w:right w:w="108" w:type="dxa"/>
        </w:tblCellMar>
        <w:tblLook w:val="04a0" w:noHBand="0" w:noVBand="1" w:firstColumn="1" w:lastRow="0" w:lastColumn="0" w:firstRow="1"/>
      </w:tblPr>
      <w:tblGrid>
        <w:gridCol w:w="817"/>
        <w:gridCol w:w="2552"/>
        <w:gridCol w:w="6837"/>
      </w:tblGrid>
      <w:tr>
        <w:trPr/>
        <w:tc>
          <w:tcPr>
            <w:tcW w:w="817" w:type="dxa"/>
            <w:tcBorders/>
            <w:vAlign w:val="center"/>
          </w:tcPr>
          <w:p>
            <w:pPr>
              <w:pStyle w:val="Normal"/>
              <w:widowControl w:val="false"/>
              <w:spacing w:before="120" w:after="0"/>
              <w:jc w:val="center"/>
              <w:rPr>
                <w:b/>
              </w:rPr>
            </w:pPr>
            <w:r>
              <w:rPr>
                <w:b/>
              </w:rPr>
              <w:t>№</w:t>
            </w:r>
            <w:r>
              <w:rPr>
                <w:b/>
              </w:rPr>
              <w:br/>
              <w:t>п/п</w:t>
            </w:r>
          </w:p>
        </w:tc>
        <w:tc>
          <w:tcPr>
            <w:tcW w:w="2552" w:type="dxa"/>
            <w:tcBorders/>
            <w:vAlign w:val="center"/>
          </w:tcPr>
          <w:p>
            <w:pPr>
              <w:pStyle w:val="Normal"/>
              <w:widowControl w:val="false"/>
              <w:spacing w:before="120" w:after="0"/>
              <w:jc w:val="center"/>
              <w:rPr>
                <w:b/>
              </w:rPr>
            </w:pPr>
            <w:r>
              <w:rPr>
                <w:b/>
              </w:rPr>
              <w:t>Наименование</w:t>
            </w:r>
          </w:p>
        </w:tc>
        <w:tc>
          <w:tcPr>
            <w:tcW w:w="6837" w:type="dxa"/>
            <w:tcBorders/>
            <w:vAlign w:val="center"/>
          </w:tcPr>
          <w:p>
            <w:pPr>
              <w:pStyle w:val="Normal"/>
              <w:widowControl w:val="false"/>
              <w:spacing w:before="120" w:after="0"/>
              <w:jc w:val="center"/>
              <w:rPr>
                <w:b/>
              </w:rPr>
            </w:pPr>
            <w:r>
              <w:rPr>
                <w:b/>
              </w:rPr>
              <w:t>Содержание пункта Извещения</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b/>
              </w:rPr>
            </w:pPr>
            <w:r>
              <w:rPr/>
              <w:t>Способ продажи</w:t>
            </w:r>
          </w:p>
        </w:tc>
        <w:tc>
          <w:tcPr>
            <w:tcW w:w="6837" w:type="dxa"/>
            <w:tcBorders/>
          </w:tcPr>
          <w:p>
            <w:pPr>
              <w:pStyle w:val="Normal"/>
              <w:widowControl w:val="false"/>
              <w:spacing w:before="120" w:after="120"/>
              <w:rPr/>
            </w:pPr>
            <w:r>
              <w:rPr/>
              <w:t>Аукцион на повышение (далее также – аукцион)</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Продавец</w:t>
            </w:r>
          </w:p>
        </w:tc>
        <w:tc>
          <w:tcPr>
            <w:tcW w:w="6837" w:type="dxa"/>
            <w:tcBorders/>
          </w:tcPr>
          <w:p>
            <w:pPr>
              <w:pStyle w:val="Tableheader"/>
              <w:widowControl w:val="false"/>
              <w:spacing w:before="120" w:after="0"/>
              <w:rPr>
                <w:b w:val="false"/>
                <w:sz w:val="26"/>
                <w:szCs w:val="26"/>
              </w:rPr>
            </w:pPr>
            <w:r>
              <w:rPr>
                <w:b w:val="false"/>
                <w:sz w:val="26"/>
                <w:szCs w:val="26"/>
              </w:rPr>
              <w:t>Наименование (полное и сокращенное): Акционерное общество «Загорская ГАЭС-2» (АО «Загорская ГАЭС-2»)</w:t>
            </w:r>
          </w:p>
          <w:p>
            <w:pPr>
              <w:pStyle w:val="Tableheader"/>
              <w:widowControl w:val="false"/>
              <w:rPr>
                <w:b w:val="false"/>
                <w:bCs/>
                <w:sz w:val="26"/>
                <w:szCs w:val="26"/>
              </w:rPr>
            </w:pPr>
            <w:r>
              <w:rPr>
                <w:b w:val="false"/>
                <w:sz w:val="26"/>
                <w:szCs w:val="26"/>
              </w:rPr>
              <w:t xml:space="preserve">Место нахождения: </w:t>
            </w:r>
            <w:r>
              <w:rPr>
                <w:b w:val="false"/>
                <w:bCs/>
                <w:sz w:val="26"/>
                <w:szCs w:val="26"/>
              </w:rPr>
              <w:t>Российская Федерация, Московская область, г. Сергиев Посад</w:t>
            </w:r>
          </w:p>
          <w:p>
            <w:pPr>
              <w:pStyle w:val="Tableheader"/>
              <w:widowControl w:val="false"/>
              <w:rPr>
                <w:b w:val="false"/>
                <w:bCs/>
                <w:sz w:val="26"/>
                <w:szCs w:val="26"/>
              </w:rPr>
            </w:pPr>
            <w:r>
              <w:rPr>
                <w:b w:val="false"/>
                <w:sz w:val="26"/>
                <w:szCs w:val="26"/>
              </w:rPr>
              <w:t xml:space="preserve">Почтовый адрес: </w:t>
            </w:r>
            <w:r>
              <w:rPr>
                <w:b w:val="false"/>
                <w:bCs/>
                <w:sz w:val="26"/>
                <w:szCs w:val="26"/>
              </w:rPr>
              <w:t>141342, Российская Федерация, Московская область, г. Сергиев Посад, рабочий поселок Богородское, д. 101</w:t>
            </w:r>
          </w:p>
          <w:p>
            <w:pPr>
              <w:pStyle w:val="Tableheader"/>
              <w:widowControl w:val="false"/>
              <w:rPr>
                <w:b w:val="false"/>
                <w:sz w:val="26"/>
                <w:szCs w:val="26"/>
              </w:rPr>
            </w:pPr>
            <w:r>
              <w:rPr>
                <w:b w:val="false"/>
                <w:sz w:val="26"/>
                <w:szCs w:val="26"/>
              </w:rPr>
              <w:t>Адрес электронной почты: zagaes2@rushydro.ru</w:t>
            </w:r>
          </w:p>
          <w:p>
            <w:pPr>
              <w:pStyle w:val="Normal"/>
              <w:widowControl w:val="false"/>
              <w:tabs>
                <w:tab w:val="clear" w:pos="567"/>
                <w:tab w:val="left" w:pos="426" w:leader="none"/>
              </w:tabs>
              <w:spacing w:before="120" w:after="120"/>
              <w:rPr>
                <w:rFonts w:eastAsia="Lucida Sans Unicode"/>
                <w:i/>
                <w:i/>
                <w:kern w:val="2"/>
                <w:shd w:fill="FFFF99" w:val="clear"/>
              </w:rPr>
            </w:pPr>
            <w:r>
              <w:rPr/>
              <w:t>Контактный телефон: +7 496 545 45 00</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44" w:name="_Ref514805111"/>
            <w:bookmarkStart w:id="545" w:name="_Ref514805111"/>
            <w:bookmarkEnd w:id="545"/>
          </w:p>
        </w:tc>
        <w:tc>
          <w:tcPr>
            <w:tcW w:w="2552" w:type="dxa"/>
            <w:tcBorders/>
          </w:tcPr>
          <w:p>
            <w:pPr>
              <w:pStyle w:val="Normal"/>
              <w:widowControl w:val="false"/>
              <w:spacing w:before="120" w:after="0"/>
              <w:jc w:val="left"/>
              <w:rPr/>
            </w:pPr>
            <w:r>
              <w:rPr/>
              <w:t>Организатор продажи</w:t>
            </w:r>
          </w:p>
        </w:tc>
        <w:tc>
          <w:tcPr>
            <w:tcW w:w="6837" w:type="dxa"/>
            <w:tcBorders/>
          </w:tcPr>
          <w:p>
            <w:pPr>
              <w:pStyle w:val="Tableheader"/>
              <w:widowControl w:val="false"/>
              <w:spacing w:before="120" w:after="0"/>
              <w:rPr>
                <w:b w:val="false"/>
                <w:sz w:val="26"/>
                <w:szCs w:val="26"/>
              </w:rPr>
            </w:pPr>
            <w:r>
              <w:rPr>
                <w:b w:val="false"/>
                <w:sz w:val="26"/>
                <w:szCs w:val="26"/>
              </w:rPr>
              <w:t>Наименование (полное и сокращенное): Акционерное общество «Загорская ГАЭС-2» (АО «Загорская ГАЭС-2»)</w:t>
            </w:r>
          </w:p>
          <w:p>
            <w:pPr>
              <w:pStyle w:val="Tableheader"/>
              <w:widowControl w:val="false"/>
              <w:rPr>
                <w:b w:val="false"/>
                <w:bCs/>
                <w:sz w:val="26"/>
                <w:szCs w:val="26"/>
              </w:rPr>
            </w:pPr>
            <w:r>
              <w:rPr>
                <w:b w:val="false"/>
                <w:sz w:val="26"/>
                <w:szCs w:val="26"/>
              </w:rPr>
              <w:t xml:space="preserve">Место нахождения: </w:t>
            </w:r>
            <w:r>
              <w:rPr>
                <w:b w:val="false"/>
                <w:bCs/>
                <w:sz w:val="26"/>
                <w:szCs w:val="26"/>
              </w:rPr>
              <w:t>Российская Федерация, Московская область, г. Сергиев Посад</w:t>
            </w:r>
          </w:p>
          <w:p>
            <w:pPr>
              <w:pStyle w:val="Tableheader"/>
              <w:widowControl w:val="false"/>
              <w:rPr>
                <w:b w:val="false"/>
                <w:bCs/>
                <w:sz w:val="26"/>
                <w:szCs w:val="26"/>
              </w:rPr>
            </w:pPr>
            <w:r>
              <w:rPr>
                <w:b w:val="false"/>
                <w:sz w:val="26"/>
                <w:szCs w:val="26"/>
              </w:rPr>
              <w:t xml:space="preserve">Почтовый адрес: </w:t>
            </w:r>
            <w:r>
              <w:rPr>
                <w:b w:val="false"/>
                <w:bCs/>
                <w:sz w:val="26"/>
                <w:szCs w:val="26"/>
              </w:rPr>
              <w:t>141342, Российская Федерация, Московская область, г. Сергиев Посад, рабочий поселок Богородское, д. 101</w:t>
            </w:r>
          </w:p>
          <w:p>
            <w:pPr>
              <w:pStyle w:val="Tableheader"/>
              <w:widowControl w:val="false"/>
              <w:rPr>
                <w:b w:val="false"/>
                <w:sz w:val="26"/>
                <w:szCs w:val="26"/>
              </w:rPr>
            </w:pPr>
            <w:r>
              <w:rPr>
                <w:b w:val="false"/>
                <w:sz w:val="26"/>
                <w:szCs w:val="26"/>
              </w:rPr>
              <w:t>Адрес электронной почты: zagaes2@rushydro.ru</w:t>
            </w:r>
          </w:p>
          <w:p>
            <w:pPr>
              <w:pStyle w:val="Normal"/>
              <w:widowControl w:val="false"/>
              <w:tabs>
                <w:tab w:val="clear" w:pos="567"/>
                <w:tab w:val="left" w:pos="426" w:leader="none"/>
              </w:tabs>
              <w:spacing w:before="120" w:after="120"/>
              <w:rPr>
                <w:rFonts w:eastAsia="Lucida Sans Unicode"/>
                <w:i/>
                <w:i/>
                <w:kern w:val="2"/>
                <w:shd w:fill="FFFF99" w:val="clear"/>
              </w:rPr>
            </w:pPr>
            <w:r>
              <w:rPr/>
              <w:t>Контактный телефон: +7 496 545 45 00</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46" w:name="_Ref514805119"/>
            <w:bookmarkStart w:id="547" w:name="_Ref514805119"/>
            <w:bookmarkEnd w:id="547"/>
          </w:p>
        </w:tc>
        <w:tc>
          <w:tcPr>
            <w:tcW w:w="2552" w:type="dxa"/>
            <w:tcBorders/>
          </w:tcPr>
          <w:p>
            <w:pPr>
              <w:pStyle w:val="Normal"/>
              <w:widowControl w:val="false"/>
              <w:spacing w:before="120" w:after="0"/>
              <w:jc w:val="left"/>
              <w:rPr/>
            </w:pPr>
            <w:r>
              <w:rPr/>
              <w:t>Представитель Организатора продажи</w:t>
            </w:r>
          </w:p>
        </w:tc>
        <w:tc>
          <w:tcPr>
            <w:tcW w:w="6837" w:type="dxa"/>
            <w:tcBorders/>
          </w:tcPr>
          <w:p>
            <w:pPr>
              <w:pStyle w:val="Tableheader"/>
              <w:widowControl w:val="false"/>
              <w:spacing w:before="120" w:after="120"/>
              <w:rPr>
                <w:b w:val="false"/>
                <w:sz w:val="26"/>
                <w:szCs w:val="26"/>
              </w:rPr>
            </w:pPr>
            <w:r>
              <w:rPr>
                <w:b w:val="false"/>
                <w:sz w:val="26"/>
                <w:szCs w:val="26"/>
              </w:rPr>
              <w:t>Контактное лицо (Ф.И.О.): Каширин Роман Александрович</w:t>
            </w:r>
          </w:p>
          <w:p>
            <w:pPr>
              <w:pStyle w:val="Tableheader"/>
              <w:widowControl w:val="false"/>
              <w:spacing w:before="120" w:after="120"/>
              <w:rPr>
                <w:b w:val="false"/>
                <w:sz w:val="26"/>
                <w:szCs w:val="26"/>
              </w:rPr>
            </w:pPr>
            <w:r>
              <w:rPr>
                <w:b w:val="false"/>
                <w:sz w:val="26"/>
                <w:szCs w:val="26"/>
              </w:rPr>
              <w:t>Контактный телефон: +7 916 722-94-55</w:t>
            </w:r>
          </w:p>
          <w:p>
            <w:pPr>
              <w:pStyle w:val="Normal"/>
              <w:widowControl w:val="false"/>
              <w:tabs>
                <w:tab w:val="clear" w:pos="567"/>
                <w:tab w:val="left" w:pos="426" w:leader="none"/>
              </w:tabs>
              <w:spacing w:before="120" w:after="120"/>
              <w:rPr>
                <w:rFonts w:eastAsia="Lucida Sans Unicode"/>
                <w:i/>
                <w:i/>
                <w:kern w:val="2"/>
                <w:shd w:fill="FFFF99" w:val="clear"/>
              </w:rPr>
            </w:pPr>
            <w:r>
              <w:rPr/>
              <w:t>Адрес электронной почты: KashirinRA@rushydro.ru</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48" w:name="_Ref514805016"/>
            <w:bookmarkStart w:id="549" w:name="_Ref514805016"/>
            <w:bookmarkEnd w:id="549"/>
          </w:p>
        </w:tc>
        <w:tc>
          <w:tcPr>
            <w:tcW w:w="2552" w:type="dxa"/>
            <w:tcBorders/>
          </w:tcPr>
          <w:p>
            <w:pPr>
              <w:pStyle w:val="Normal"/>
              <w:widowControl w:val="false"/>
              <w:spacing w:before="120" w:after="0"/>
              <w:jc w:val="left"/>
              <w:rPr/>
            </w:pPr>
            <w:r>
              <w:rPr/>
              <w:t>Наименование и адрес ЭТП</w:t>
            </w:r>
          </w:p>
        </w:tc>
        <w:tc>
          <w:tcPr>
            <w:tcW w:w="6837" w:type="dxa"/>
            <w:tcBorders/>
          </w:tcPr>
          <w:p>
            <w:pPr>
              <w:pStyle w:val="Normal"/>
              <w:widowControl w:val="false"/>
              <w:tabs>
                <w:tab w:val="clear" w:pos="567"/>
                <w:tab w:val="left" w:pos="426" w:leader="none"/>
              </w:tabs>
              <w:spacing w:before="120" w:after="120"/>
              <w:rPr>
                <w:b/>
              </w:rPr>
            </w:pPr>
            <w:r>
              <w:rPr/>
              <w:t>АО «Российский аукционный дом» (сокращенно именуемое АО «РАД»), lot-online.ru</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b/>
              </w:rPr>
            </w:pPr>
            <w:r>
              <w:rPr/>
              <w:t>Предмет продажи</w:t>
            </w:r>
          </w:p>
        </w:tc>
        <w:tc>
          <w:tcPr>
            <w:tcW w:w="6837" w:type="dxa"/>
            <w:tcBorders/>
          </w:tcPr>
          <w:p>
            <w:pPr>
              <w:pStyle w:val="Normal"/>
              <w:widowControl w:val="false"/>
              <w:spacing w:before="120" w:after="120"/>
              <w:rPr>
                <w:b/>
              </w:rPr>
            </w:pPr>
            <w:r>
              <w:rPr/>
              <w:t>Комплекс объектов производственной площадки, указанного в Приложении № 1 к Документации, расположенного по адресу: Московская обл., Сергиево-Посадский городской округ, пос. Богородское</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Краткое описание Предмета продажи</w:t>
            </w:r>
          </w:p>
        </w:tc>
        <w:tc>
          <w:tcPr>
            <w:tcW w:w="6837" w:type="dxa"/>
            <w:tcBorders/>
          </w:tcPr>
          <w:p>
            <w:pPr>
              <w:pStyle w:val="Tableheader"/>
              <w:widowControl w:val="false"/>
              <w:spacing w:before="120" w:after="0"/>
              <w:rPr>
                <w:b w:val="false"/>
                <w:sz w:val="26"/>
                <w:szCs w:val="26"/>
              </w:rPr>
            </w:pPr>
            <w:r>
              <w:rPr>
                <w:b w:val="false"/>
                <w:sz w:val="26"/>
                <w:szCs w:val="26"/>
              </w:rPr>
              <w:t>Описание предмета продажи содержится в Документации о продаже.</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Адрес местонахождения Предмета продажи</w:t>
            </w:r>
          </w:p>
        </w:tc>
        <w:tc>
          <w:tcPr>
            <w:tcW w:w="6837" w:type="dxa"/>
            <w:tcBorders/>
          </w:tcPr>
          <w:p>
            <w:pPr>
              <w:pStyle w:val="Normal"/>
              <w:widowControl w:val="false"/>
              <w:spacing w:before="120" w:after="120"/>
              <w:rPr>
                <w:i/>
                <w:i/>
                <w:shd w:fill="FFFF99" w:val="clear"/>
              </w:rPr>
            </w:pPr>
            <w:r>
              <w:rPr/>
              <w:t>В соответствии с Документацией о продаже.</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50" w:name="_Ref523922333"/>
            <w:bookmarkStart w:id="551" w:name="_Ref523922333"/>
            <w:bookmarkEnd w:id="551"/>
          </w:p>
        </w:tc>
        <w:tc>
          <w:tcPr>
            <w:tcW w:w="2552" w:type="dxa"/>
            <w:tcBorders/>
          </w:tcPr>
          <w:p>
            <w:pPr>
              <w:pStyle w:val="Normal"/>
              <w:widowControl w:val="false"/>
              <w:spacing w:before="120" w:after="0"/>
              <w:jc w:val="left"/>
              <w:rPr/>
            </w:pPr>
            <w:r>
              <w:rPr/>
              <w:t>Начальная цена продажи</w:t>
            </w:r>
          </w:p>
        </w:tc>
        <w:tc>
          <w:tcPr>
            <w:tcW w:w="6837" w:type="dxa"/>
            <w:tcBorders/>
          </w:tcPr>
          <w:p>
            <w:pPr>
              <w:pStyle w:val="Normal"/>
              <w:widowControl w:val="false"/>
              <w:tabs>
                <w:tab w:val="clear" w:pos="567"/>
                <w:tab w:val="left" w:pos="426" w:leader="none"/>
              </w:tabs>
              <w:spacing w:before="120" w:after="120"/>
              <w:rPr>
                <w:b/>
              </w:rPr>
            </w:pPr>
            <w:r>
              <w:rPr>
                <w:rFonts w:eastAsia="Geneva;Arial" w:cs="Times New Roman"/>
                <w:color w:val="000000"/>
                <w:kern w:val="0"/>
                <w:sz w:val="26"/>
                <w:szCs w:val="26"/>
                <w:lang w:val="ru-RU" w:eastAsia="ru-RU" w:bidi="ar-SA"/>
              </w:rPr>
              <w:t>189 000 000,00</w:t>
            </w:r>
            <w:r>
              <w:rPr>
                <w:rFonts w:eastAsia="Geneva;Arial"/>
                <w:color w:val="000000"/>
              </w:rPr>
              <w:t xml:space="preserve">    </w:t>
            </w:r>
            <w:r>
              <w:rPr/>
              <w:t>руб. с учетом НДС</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Валюта Договора</w:t>
            </w:r>
          </w:p>
        </w:tc>
        <w:tc>
          <w:tcPr>
            <w:tcW w:w="6837" w:type="dxa"/>
            <w:tcBorders/>
          </w:tcPr>
          <w:p>
            <w:pPr>
              <w:pStyle w:val="Normal"/>
              <w:widowControl w:val="false"/>
              <w:tabs>
                <w:tab w:val="clear" w:pos="567"/>
                <w:tab w:val="left" w:pos="426" w:leader="none"/>
              </w:tabs>
              <w:spacing w:before="120" w:after="0"/>
              <w:rPr>
                <w:rFonts w:eastAsia="Lucida Sans Unicode"/>
                <w:i/>
                <w:i/>
                <w:kern w:val="2"/>
                <w:shd w:fill="FFFF99" w:val="clear"/>
              </w:rPr>
            </w:pPr>
            <w:r>
              <w:rPr/>
              <w:t>Российский рубль</w:t>
            </w:r>
          </w:p>
        </w:tc>
      </w:tr>
      <w:tr>
        <w:trPr>
          <w:trHeight w:val="2097" w:hRule="atLeast"/>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52" w:name="_Hlk523925792"/>
            <w:bookmarkStart w:id="553" w:name="_Hlk523925792"/>
          </w:p>
        </w:tc>
        <w:tc>
          <w:tcPr>
            <w:tcW w:w="2552" w:type="dxa"/>
            <w:tcBorders/>
          </w:tcPr>
          <w:p>
            <w:pPr>
              <w:pStyle w:val="Normal"/>
              <w:widowControl w:val="false"/>
              <w:spacing w:before="120" w:after="0"/>
              <w:jc w:val="left"/>
              <w:rPr/>
            </w:pPr>
            <w:r>
              <w:rPr/>
              <w:t>Участники Аукциона</w:t>
            </w:r>
          </w:p>
        </w:tc>
        <w:tc>
          <w:tcPr>
            <w:tcW w:w="6837" w:type="dxa"/>
            <w:tcBorders/>
            <w:vAlign w:val="center"/>
          </w:tcPr>
          <w:p>
            <w:pPr>
              <w:pStyle w:val="Normal"/>
              <w:widowControl w:val="false"/>
              <w:spacing w:before="120" w:after="0"/>
              <w:rPr/>
            </w:pPr>
            <w:r>
              <w:rPr/>
              <w:t xml:space="preserve">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w:t>
            </w:r>
            <w:r>
              <w:rPr>
                <w:color w:val="000000"/>
              </w:rPr>
              <w:t>чья заявка признана соответствующей требованиям Документации о продаже</w:t>
            </w:r>
            <w:r>
              <w:rPr/>
              <w:t>.</w:t>
            </w:r>
            <w:bookmarkEnd w:id="553"/>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Срок, место и порядок предоставления Документации о продаже</w:t>
            </w:r>
          </w:p>
        </w:tc>
        <w:tc>
          <w:tcPr>
            <w:tcW w:w="6837" w:type="dxa"/>
            <w:tcBorders/>
          </w:tcPr>
          <w:p>
            <w:pPr>
              <w:pStyle w:val="Normal"/>
              <w:widowControl w:val="false"/>
              <w:tabs>
                <w:tab w:val="clear" w:pos="567"/>
                <w:tab w:val="left" w:pos="426" w:leader="none"/>
              </w:tabs>
              <w:spacing w:before="120" w:after="120"/>
              <w:rPr/>
            </w:pPr>
            <w:r>
              <w:rPr/>
              <w:t>Документация о продаже размещена на официальном сайте электронной торговой площадки АО «Российский аукционный дом» в сети Интернет lot-online.ru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 Предоставление Документации о продаже на бумажном носителе не предусмотрено.</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Задаток</w:t>
            </w:r>
          </w:p>
        </w:tc>
        <w:tc>
          <w:tcPr>
            <w:tcW w:w="6837" w:type="dxa"/>
            <w:tcBorders/>
          </w:tcPr>
          <w:p>
            <w:pPr>
              <w:pStyle w:val="Tableheader"/>
              <w:widowControl w:val="false"/>
              <w:spacing w:before="120" w:after="120"/>
              <w:rPr>
                <w:b w:val="false"/>
                <w:sz w:val="26"/>
                <w:szCs w:val="26"/>
              </w:rPr>
            </w:pPr>
            <w:r>
              <w:rPr>
                <w:b w:val="false"/>
                <w:sz w:val="26"/>
                <w:szCs w:val="26"/>
              </w:rPr>
              <w:t>Информация о размере и условиях предоставления задатка приведена в Документации о продаже.</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Дата начала – дата и время окончания срока подачи Заявок</w:t>
            </w:r>
          </w:p>
        </w:tc>
        <w:tc>
          <w:tcPr>
            <w:tcW w:w="6837" w:type="dxa"/>
            <w:tcBorders/>
          </w:tcPr>
          <w:p>
            <w:pPr>
              <w:pStyle w:val="Normal"/>
              <w:widowControl w:val="false"/>
              <w:spacing w:before="120" w:after="120"/>
              <w:rPr/>
            </w:pPr>
            <w:r>
              <w:rPr/>
              <w:t>Дата начала подачи Заявок:</w:t>
            </w:r>
          </w:p>
          <w:p>
            <w:pPr>
              <w:pStyle w:val="Normal"/>
              <w:widowControl w:val="false"/>
              <w:spacing w:before="120" w:after="120"/>
              <w:rPr/>
            </w:pPr>
            <w:r>
              <w:rPr/>
              <w:t>«28» августа 2025 года</w:t>
            </w:r>
          </w:p>
          <w:p>
            <w:pPr>
              <w:pStyle w:val="Normal"/>
              <w:widowControl w:val="false"/>
              <w:spacing w:before="120" w:after="120"/>
              <w:rPr/>
            </w:pPr>
            <w:r>
              <w:rPr/>
              <w:t>Дата и время окончания срока подачи заявок:</w:t>
            </w:r>
          </w:p>
          <w:p>
            <w:pPr>
              <w:pStyle w:val="Tableheader"/>
              <w:widowControl w:val="false"/>
              <w:spacing w:before="120" w:after="120"/>
              <w:rPr>
                <w:b w:val="false"/>
                <w:sz w:val="26"/>
                <w:szCs w:val="26"/>
              </w:rPr>
            </w:pPr>
            <w:r>
              <w:rPr>
                <w:b w:val="false"/>
                <w:sz w:val="26"/>
                <w:szCs w:val="26"/>
              </w:rPr>
              <w:t xml:space="preserve">«13» </w:t>
            </w:r>
            <w:r>
              <w:rPr>
                <w:b w:val="false"/>
                <w:sz w:val="26"/>
                <w:szCs w:val="26"/>
                <w:u w:val="double"/>
              </w:rPr>
              <w:t>октября</w:t>
            </w:r>
            <w:r>
              <w:rPr>
                <w:b w:val="false"/>
                <w:sz w:val="26"/>
                <w:szCs w:val="26"/>
              </w:rPr>
              <w:t xml:space="preserve"> 2025 года в 15 ч. 00 мин. (по московскому времени)</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Порядок подачи Заявок</w:t>
            </w:r>
          </w:p>
        </w:tc>
        <w:tc>
          <w:tcPr>
            <w:tcW w:w="6837" w:type="dxa"/>
            <w:tcBorders/>
          </w:tcPr>
          <w:p>
            <w:pPr>
              <w:pStyle w:val="Tabletext"/>
              <w:widowControl w:val="false"/>
              <w:spacing w:before="120" w:after="0"/>
              <w:ind w:left="-44" w:hanging="0"/>
              <w:rPr>
                <w:b/>
                <w:sz w:val="26"/>
                <w:szCs w:val="26"/>
              </w:rPr>
            </w:pPr>
            <w:r>
              <w:rPr>
                <w:sz w:val="26"/>
                <w:szCs w:val="26"/>
              </w:rPr>
              <w:t xml:space="preserve">Заявки подаются по адресу ЭТП, указанному в пункте </w:t>
            </w:r>
            <w:r>
              <w:rPr>
                <w:sz w:val="26"/>
                <w:szCs w:val="26"/>
              </w:rPr>
              <w:fldChar w:fldCharType="begin"/>
            </w:r>
            <w:r>
              <w:rPr>
                <w:sz w:val="26"/>
                <w:szCs w:val="26"/>
              </w:rPr>
              <w:instrText xml:space="preserve"> REF _Ref514805016 \r \h </w:instrText>
            </w:r>
            <w:r>
              <w:rPr>
                <w:sz w:val="26"/>
                <w:szCs w:val="26"/>
              </w:rPr>
              <w:fldChar w:fldCharType="separate"/>
            </w:r>
            <w:r>
              <w:rPr>
                <w:sz w:val="26"/>
                <w:szCs w:val="26"/>
              </w:rPr>
              <w:t>5</w:t>
            </w:r>
            <w:r>
              <w:rPr>
                <w:sz w:val="26"/>
                <w:szCs w:val="26"/>
              </w:rPr>
              <w:fldChar w:fldCharType="end"/>
            </w:r>
            <w:r>
              <w:rPr>
                <w:sz w:val="26"/>
                <w:szCs w:val="26"/>
              </w:rPr>
              <w:t xml:space="preserve"> настоящего Извещения.</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«Шаг» аукциона</w:t>
            </w:r>
          </w:p>
        </w:tc>
        <w:tc>
          <w:tcPr>
            <w:tcW w:w="6837" w:type="dxa"/>
            <w:tcBorders/>
          </w:tcPr>
          <w:p>
            <w:pPr>
              <w:pStyle w:val="Normal"/>
              <w:widowControl w:val="false"/>
              <w:tabs>
                <w:tab w:val="clear" w:pos="567"/>
                <w:tab w:val="left" w:pos="426" w:leader="none"/>
              </w:tabs>
              <w:spacing w:before="120" w:after="120"/>
              <w:rPr/>
            </w:pPr>
            <w:r>
              <w:rPr/>
              <w:t>Шаг аукциона составляет 500 000</w:t>
            </w:r>
            <w:r>
              <w:rPr>
                <w:color w:val="000000" w:themeColor="text1"/>
              </w:rPr>
              <w:t xml:space="preserve"> (Пятьсот тысяч) рублей 00 копеек</w:t>
            </w:r>
            <w:r>
              <w:rPr>
                <w:color w:val="000000" w:themeColor="text1"/>
                <w:szCs w:val="28"/>
              </w:rPr>
              <w:t xml:space="preserve"> с учетом НДС</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Дата и время проведения Аукциона</w:t>
            </w:r>
          </w:p>
        </w:tc>
        <w:tc>
          <w:tcPr>
            <w:tcW w:w="6837" w:type="dxa"/>
            <w:tcBorders/>
            <w:vAlign w:val="center"/>
          </w:tcPr>
          <w:p>
            <w:pPr>
              <w:pStyle w:val="Normal"/>
              <w:widowControl w:val="false"/>
              <w:tabs>
                <w:tab w:val="clear" w:pos="567"/>
                <w:tab w:val="left" w:pos="426" w:leader="none"/>
              </w:tabs>
              <w:spacing w:before="120" w:after="120"/>
              <w:rPr>
                <w:highlight w:val="none"/>
                <w:shd w:fill="auto" w:val="clear"/>
              </w:rPr>
            </w:pPr>
            <w:r>
              <w:rPr>
                <w:color w:val="000000" w:themeColor="text1"/>
                <w:shd w:fill="auto" w:val="clear"/>
              </w:rPr>
              <w:t>«24» октября 2025 года в 11 ч. 00 мин. (по московскому времени)</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0"/>
              <w:jc w:val="left"/>
              <w:rPr/>
            </w:pPr>
            <w:r>
              <w:rPr/>
              <w:t>Дата подведения итогов Аукциона</w:t>
            </w:r>
          </w:p>
        </w:tc>
        <w:tc>
          <w:tcPr>
            <w:tcW w:w="6837" w:type="dxa"/>
            <w:tcBorders/>
            <w:vAlign w:val="center"/>
          </w:tcPr>
          <w:p>
            <w:pPr>
              <w:pStyle w:val="Normal"/>
              <w:widowControl w:val="false"/>
              <w:tabs>
                <w:tab w:val="clear" w:pos="567"/>
                <w:tab w:val="left" w:pos="426" w:leader="none"/>
              </w:tabs>
              <w:spacing w:before="120" w:after="120"/>
              <w:rPr>
                <w:highlight w:val="none"/>
                <w:shd w:fill="auto" w:val="clear"/>
              </w:rPr>
            </w:pPr>
            <w:r>
              <w:rPr>
                <w:i/>
                <w:color w:val="000000" w:themeColor="text1"/>
                <w:shd w:fill="auto" w:val="clear"/>
              </w:rPr>
              <w:t>«31» октября 2025 года</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54" w:name="_Ref525315137"/>
            <w:bookmarkStart w:id="555" w:name="_Ref525315137"/>
            <w:bookmarkEnd w:id="555"/>
          </w:p>
        </w:tc>
        <w:tc>
          <w:tcPr>
            <w:tcW w:w="2552" w:type="dxa"/>
            <w:tcBorders/>
          </w:tcPr>
          <w:p>
            <w:pPr>
              <w:pStyle w:val="Normal"/>
              <w:widowControl w:val="false"/>
              <w:spacing w:before="120" w:after="0"/>
              <w:jc w:val="left"/>
              <w:rPr/>
            </w:pPr>
            <w:r>
              <w:rPr/>
              <w:t>Время ожидания ценового предложения Участника</w:t>
            </w:r>
          </w:p>
        </w:tc>
        <w:tc>
          <w:tcPr>
            <w:tcW w:w="6837" w:type="dxa"/>
            <w:tcBorders/>
          </w:tcPr>
          <w:p>
            <w:pPr>
              <w:pStyle w:val="Tableheader"/>
              <w:widowControl w:val="false"/>
              <w:spacing w:before="120" w:after="0"/>
              <w:rPr>
                <w:b w:val="false"/>
                <w:sz w:val="26"/>
                <w:szCs w:val="26"/>
              </w:rPr>
            </w:pPr>
            <w:r>
              <w:rPr>
                <w:b w:val="false"/>
                <w:sz w:val="26"/>
                <w:szCs w:val="26"/>
              </w:rPr>
              <w:t>30 (тридцать) минут от времени начала проведения аукциона</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p>
        </w:tc>
        <w:tc>
          <w:tcPr>
            <w:tcW w:w="2552" w:type="dxa"/>
            <w:tcBorders/>
          </w:tcPr>
          <w:p>
            <w:pPr>
              <w:pStyle w:val="Normal"/>
              <w:widowControl w:val="false"/>
              <w:spacing w:before="120" w:after="120"/>
              <w:jc w:val="left"/>
              <w:rPr/>
            </w:pPr>
            <w:r>
              <w:rPr/>
              <w:t>Порядок подведения итогов Аукциона</w:t>
            </w:r>
          </w:p>
        </w:tc>
        <w:tc>
          <w:tcPr>
            <w:tcW w:w="6837" w:type="dxa"/>
            <w:tcBorders/>
          </w:tcPr>
          <w:p>
            <w:pPr>
              <w:pStyle w:val="Tableheader"/>
              <w:widowControl w:val="false"/>
              <w:spacing w:before="120" w:after="0"/>
              <w:rPr>
                <w:b w:val="false"/>
                <w:sz w:val="26"/>
                <w:szCs w:val="26"/>
              </w:rPr>
            </w:pPr>
            <w:r>
              <w:rPr>
                <w:b w:val="false"/>
                <w:sz w:val="26"/>
                <w:szCs w:val="26"/>
              </w:rPr>
              <w:t>Единственным критерием выбора победителя Аукциона является цена Договора (цена заявки), при условии соответствия заявки требованиям Документации о продаже.</w:t>
            </w:r>
          </w:p>
          <w:p>
            <w:pPr>
              <w:pStyle w:val="Tableheader"/>
              <w:widowControl w:val="false"/>
              <w:spacing w:before="120" w:after="120"/>
              <w:rPr>
                <w:b w:val="false"/>
                <w:sz w:val="26"/>
                <w:szCs w:val="26"/>
              </w:rPr>
            </w:pPr>
            <w:r>
              <w:rPr>
                <w:b w:val="false"/>
                <w:sz w:val="26"/>
                <w:szCs w:val="26"/>
              </w:rPr>
              <w:t>Победителем Аукциона признается Участник, предложивший наиболее высокую цену Договора.</w:t>
            </w:r>
          </w:p>
        </w:tc>
      </w:tr>
      <w:tr>
        <w:trPr/>
        <w:tc>
          <w:tcPr>
            <w:tcW w:w="817" w:type="dxa"/>
            <w:tcBorders/>
          </w:tcPr>
          <w:p>
            <w:pPr>
              <w:pStyle w:val="ListParagraph"/>
              <w:widowControl w:val="false"/>
              <w:numPr>
                <w:ilvl w:val="0"/>
                <w:numId w:val="7"/>
              </w:numPr>
              <w:spacing w:before="120" w:after="0"/>
              <w:ind w:left="0" w:hanging="0"/>
              <w:contextualSpacing w:val="false"/>
              <w:jc w:val="center"/>
              <w:rPr>
                <w:rFonts w:ascii="Times New Roman" w:hAnsi="Times New Roman"/>
                <w:sz w:val="26"/>
              </w:rPr>
            </w:pPr>
            <w:r>
              <w:rPr>
                <w:rFonts w:ascii="Times New Roman" w:hAnsi="Times New Roman"/>
                <w:sz w:val="26"/>
              </w:rPr>
            </w:r>
            <w:bookmarkStart w:id="556" w:name="_Ref446062609"/>
            <w:bookmarkStart w:id="557" w:name="_Ref446062609"/>
            <w:bookmarkEnd w:id="557"/>
          </w:p>
        </w:tc>
        <w:tc>
          <w:tcPr>
            <w:tcW w:w="9389" w:type="dxa"/>
            <w:gridSpan w:val="2"/>
            <w:tcBorders/>
          </w:tcPr>
          <w:p>
            <w:pPr>
              <w:pStyle w:val="Normal"/>
              <w:widowControl w:val="false"/>
              <w:spacing w:before="120" w:after="120"/>
              <w:rPr/>
            </w:pPr>
            <w:r>
              <w:rPr/>
              <w:t>Описание условий и процедур проводимого Аукциона, условий Договора купли-продажи содержится в Документации о продаже.</w:t>
            </w:r>
          </w:p>
        </w:tc>
      </w:tr>
    </w:tbl>
    <w:p>
      <w:pPr>
        <w:pStyle w:val="Heading1"/>
        <w:rPr>
          <w:rFonts w:ascii="Times New Roman" w:hAnsi="Times New Roman"/>
          <w:b w:val="false"/>
          <w:sz w:val="24"/>
          <w:szCs w:val="24"/>
        </w:rPr>
      </w:pPr>
      <w:bookmarkStart w:id="558" w:name="_Toc187829932"/>
      <w:bookmarkStart w:id="559" w:name="_Ref324332092"/>
      <w:bookmarkStart w:id="560" w:name="_Ref384123551"/>
      <w:bookmarkStart w:id="561" w:name="_Ref384123555"/>
      <w:r>
        <w:rPr>
          <w:rFonts w:ascii="Times New Roman" w:hAnsi="Times New Roman"/>
          <w:b w:val="false"/>
          <w:sz w:val="24"/>
          <w:szCs w:val="24"/>
        </w:rPr>
        <w:t>Приложение № 1</w:t>
      </w:r>
      <w:bookmarkEnd w:id="558"/>
      <w:bookmarkEnd w:id="559"/>
      <w:bookmarkEnd w:id="560"/>
      <w:bookmarkEnd w:id="561"/>
    </w:p>
    <w:p>
      <w:pPr>
        <w:pStyle w:val="Normal"/>
        <w:jc w:val="center"/>
        <w:rPr>
          <w:b/>
          <w:sz w:val="28"/>
          <w:szCs w:val="28"/>
        </w:rPr>
      </w:pPr>
      <w:r>
        <w:rPr>
          <w:b/>
          <w:sz w:val="28"/>
          <w:szCs w:val="28"/>
        </w:rPr>
        <w:t xml:space="preserve">ТЕХНИЧЕСКИЕ ХАРАКТЕРИСТИКИ И ФОТОГРАФИИ </w:t>
      </w:r>
    </w:p>
    <w:p>
      <w:pPr>
        <w:pStyle w:val="Normal"/>
        <w:spacing w:before="0" w:after="0"/>
        <w:jc w:val="center"/>
        <w:rPr>
          <w:b/>
          <w:sz w:val="28"/>
          <w:szCs w:val="28"/>
        </w:rPr>
      </w:pPr>
      <w:r>
        <w:rPr>
          <w:b/>
          <w:sz w:val="28"/>
          <w:szCs w:val="28"/>
        </w:rPr>
        <w:t>ПРЕДМЕТА ПРОДАЖИ</w:t>
      </w:r>
    </w:p>
    <w:p>
      <w:pPr>
        <w:pStyle w:val="Normal"/>
        <w:spacing w:before="0" w:after="0"/>
        <w:jc w:val="center"/>
        <w:rPr>
          <w:b/>
          <w:sz w:val="28"/>
          <w:szCs w:val="28"/>
        </w:rPr>
      </w:pPr>
      <w:r>
        <w:rPr>
          <w:b/>
          <w:sz w:val="28"/>
          <w:szCs w:val="28"/>
        </w:rPr>
      </w:r>
    </w:p>
    <w:p>
      <w:pPr>
        <w:pStyle w:val="Normal"/>
        <w:jc w:val="left"/>
        <w:rPr>
          <w:sz w:val="24"/>
          <w:szCs w:val="28"/>
        </w:rPr>
      </w:pPr>
      <w:r>
        <w:rPr>
          <w:sz w:val="24"/>
          <w:szCs w:val="28"/>
        </w:rPr>
        <w:t>1.</w:t>
        <w:tab/>
        <w:t>Недвижимое имущество</w:t>
      </w:r>
    </w:p>
    <w:tbl>
      <w:tblPr>
        <w:tblStyle w:val="2110"/>
        <w:tblW w:w="11069" w:type="dxa"/>
        <w:jc w:val="left"/>
        <w:tblInd w:w="-459" w:type="dxa"/>
        <w:tblLayout w:type="fixed"/>
        <w:tblCellMar>
          <w:top w:w="0" w:type="dxa"/>
          <w:left w:w="108" w:type="dxa"/>
          <w:bottom w:w="0" w:type="dxa"/>
          <w:right w:w="108" w:type="dxa"/>
        </w:tblCellMar>
        <w:tblLook w:val="04a0" w:noHBand="0" w:noVBand="1" w:firstColumn="1" w:lastRow="0" w:lastColumn="0" w:firstRow="1"/>
      </w:tblPr>
      <w:tblGrid>
        <w:gridCol w:w="399"/>
        <w:gridCol w:w="1732"/>
        <w:gridCol w:w="1677"/>
        <w:gridCol w:w="1552"/>
        <w:gridCol w:w="1024"/>
        <w:gridCol w:w="1753"/>
        <w:gridCol w:w="1366"/>
        <w:gridCol w:w="1564"/>
      </w:tblGrid>
      <w:tr>
        <w:trPr>
          <w:tblHeader w:val="true"/>
          <w:trHeight w:val="795" w:hRule="atLeast"/>
        </w:trPr>
        <w:tc>
          <w:tcPr>
            <w:tcW w:w="399"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w:t>
            </w:r>
          </w:p>
        </w:tc>
        <w:tc>
          <w:tcPr>
            <w:tcW w:w="1732"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Наименование объекта недвижимого имущества (сведения ЕГРН)</w:t>
            </w:r>
          </w:p>
        </w:tc>
        <w:tc>
          <w:tcPr>
            <w:tcW w:w="1677"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Наименование объекта недвижимого имущества (сведения бухгалтерского учета)</w:t>
            </w:r>
          </w:p>
        </w:tc>
        <w:tc>
          <w:tcPr>
            <w:tcW w:w="1552"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Кадастровый номер</w:t>
            </w:r>
          </w:p>
        </w:tc>
        <w:tc>
          <w:tcPr>
            <w:tcW w:w="1024"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Назначение</w:t>
            </w:r>
          </w:p>
        </w:tc>
        <w:tc>
          <w:tcPr>
            <w:tcW w:w="1753"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Основная характеристика</w:t>
            </w:r>
          </w:p>
        </w:tc>
        <w:tc>
          <w:tcPr>
            <w:tcW w:w="1366"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Запись в ЕГРН (номер, дата)</w:t>
            </w:r>
          </w:p>
        </w:tc>
        <w:tc>
          <w:tcPr>
            <w:tcW w:w="1564" w:type="dxa"/>
            <w:tcBorders/>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Кадастровый номер земельного участка, на котором расположен объект</w:t>
            </w:r>
          </w:p>
        </w:tc>
      </w:tr>
      <w:tr>
        <w:trPr>
          <w:trHeight w:val="151"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Газопровод высокого давления для котельной Стройбазы № 1</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Газопровод высокого давления для котельной Стройбазы № 1</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50:05:0100136:372</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-2012 Протяженность трассы - 496,1 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50-50-05/044/2012-365 от 17.05.2012</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w:t>
            </w:r>
          </w:p>
        </w:tc>
      </w:tr>
      <w:tr>
        <w:trPr>
          <w:trHeight w:val="145"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Блочно-модульное здание котельной. Тепловой пункт</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Блочно-модульное здание котельной. Тепловой пункт</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50:05:0100136:1314</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-2012 Общая площадь - 227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50-50-05/003/2013-063 от 04.02.2013</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70"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3</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резервно- топливное хозяйство</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Сооружение: резервно- топливное хозяйство</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50:05:0020101:247</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-2012 Площадка-204,1 кв.м. Резервуар РГЦ50. Молниеприемник МОГК-15 Трубопровод 55,05 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50-50-05/003/2013-064 от 04.02.2013</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161"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4</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дымовая труба, дымоходы</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Сооружение: дымовая труба, дымоходы</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50:05:0100134:3787</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-2012 Площадь застройки 12,3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50-50-05/003/2013-065 от 04.02.2013</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5"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(Площадка изготовления сборного железобетона с подкрановыми путями)</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Сооружение (Площадка изготовления сборного железобетона с подкрановыми путями)</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50:05:0100137:510</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-2007 Площадь покрытия -  11150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50-50-05/022/2007-367 от 18.08.2007</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50:05:0100135:3</w:t>
            </w:r>
          </w:p>
        </w:tc>
      </w:tr>
      <w:tr>
        <w:trPr>
          <w:trHeight w:val="645"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6</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склад цемента (силосные банки): 4 силосные банки емкостью по 1000 т и 6 силосных банок емкостью по 250 т</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Сооружение: склад цемента (силосные банки): 4 силосные банки емкостью по 1000 т и 6 силосных банок емкостью по 250 т</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50:05:0100137:514</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-2007      4 силосные банки емкостью по 1000 т. 6 силосных банок по 250 т</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50-50-05/051/2007-323 от 21.08.2007</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70"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7</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(Площадка бетонного хозяйства)</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Сооружение (Площадка бетонного хозяйства)</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50:05:0100145:374</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-2007 Площадь покрытия - 7566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50-50-05/051/2007-325 от 21.08.2007</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70" w:hRule="atLeast"/>
        </w:trPr>
        <w:tc>
          <w:tcPr>
            <w:tcW w:w="399" w:type="dxa"/>
            <w:tcBorders/>
          </w:tcPr>
          <w:p>
            <w:pPr>
              <w:pStyle w:val="Normal"/>
              <w:keepNext w:val="true"/>
              <w:widowControl w:val="false"/>
              <w:suppressAutoHyphens w:val="true"/>
              <w:spacing w:before="0" w:after="0"/>
              <w:rPr>
                <w:sz w:val="16"/>
                <w:szCs w:val="16"/>
              </w:rPr>
            </w:pPr>
            <w:r>
              <w:rPr>
                <w:rFonts w:eastAsia="Calibri" w:cs="Times New Roman"/>
                <w:b/>
                <w:kern w:val="0"/>
                <w:sz w:val="16"/>
                <w:szCs w:val="16"/>
                <w:lang w:val="ru-RU" w:eastAsia="en-US" w:bidi="ar-SA"/>
              </w:rPr>
              <w:t xml:space="preserve">  </w:t>
            </w:r>
            <w:r>
              <w:rPr>
                <w:rFonts w:eastAsia="Calibri" w:cs="Times New Roman"/>
                <w:b/>
                <w:kern w:val="0"/>
                <w:sz w:val="16"/>
                <w:szCs w:val="16"/>
                <w:lang w:val="ru-RU" w:eastAsia="en-US" w:bidi="ar-SA"/>
              </w:rPr>
              <w:t>8</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Здание бетонного хозяйства: компрессорная</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Здание бетонного хозяйства: компрессорная</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50:05:0100137:182</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tabs>
                <w:tab w:val="clear" w:pos="567"/>
                <w:tab w:val="left" w:pos="1335" w:leader="none"/>
              </w:tabs>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-2007  Общая площадь -347,30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50-50-05/051/2007-329 от 21.08.2007</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50:05:0100135:19</w:t>
            </w:r>
          </w:p>
        </w:tc>
      </w:tr>
      <w:tr>
        <w:trPr>
          <w:trHeight w:val="70"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9</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Здание бетонного хозяйства: склад инертных материалов</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Здание бетонного хозяйства: склад инертных материалов</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50:05:0100137:180</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-2011 Общая площадь -2916,30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50-50-05/051/2007-327 от 21.08.2007</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170"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10</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Здание бетонного хозяйства: здание стройлаборатории</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Здание бетонного хозяйства: склад инертных материалов</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50:05:0100137:167</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-1984. Общая площадь – 214,9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50:05:0100137:167-50/005/2019-1 от 04.10.2019</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50:05:0100135:19</w:t>
            </w:r>
          </w:p>
        </w:tc>
      </w:tr>
      <w:tr>
        <w:trPr>
          <w:trHeight w:val="70" w:hRule="atLeast"/>
        </w:trPr>
        <w:tc>
          <w:tcPr>
            <w:tcW w:w="399"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11</w:t>
            </w:r>
          </w:p>
        </w:tc>
        <w:tc>
          <w:tcPr>
            <w:tcW w:w="173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Сооружение бетонного хозяйства: галерея</w:t>
            </w:r>
          </w:p>
        </w:tc>
        <w:tc>
          <w:tcPr>
            <w:tcW w:w="1677" w:type="dxa"/>
            <w:tcBorders/>
          </w:tcPr>
          <w:p>
            <w:pPr>
              <w:pStyle w:val="Normal"/>
              <w:keepNext w:val="true"/>
              <w:widowControl w:val="false"/>
              <w:suppressAutoHyphens w:val="true"/>
              <w:spacing w:before="0" w:after="0"/>
              <w:jc w:val="left"/>
              <w:rPr>
                <w:color w:val="000000"/>
                <w:sz w:val="16"/>
                <w:szCs w:val="16"/>
              </w:rPr>
            </w:pPr>
            <w:r>
              <w:rPr>
                <w:rFonts w:eastAsia="Calibri" w:cs="Times New Roman"/>
                <w:b/>
                <w:kern w:val="0"/>
                <w:sz w:val="16"/>
                <w:szCs w:val="16"/>
                <w:lang w:val="ru-RU" w:eastAsia="en-US" w:bidi="ar-SA"/>
              </w:rPr>
              <w:t>Здание бетонного хозяйства: здание стройлаборатории</w:t>
            </w:r>
          </w:p>
        </w:tc>
        <w:tc>
          <w:tcPr>
            <w:tcW w:w="155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50:05:0100134:686</w:t>
            </w:r>
          </w:p>
        </w:tc>
        <w:tc>
          <w:tcPr>
            <w:tcW w:w="102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Прочее</w:t>
            </w:r>
          </w:p>
        </w:tc>
        <w:tc>
          <w:tcPr>
            <w:tcW w:w="1753"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Год ввода в эксплуатацию -1978. Общая площадь – 531,20 кв.м.</w:t>
            </w:r>
          </w:p>
        </w:tc>
        <w:tc>
          <w:tcPr>
            <w:tcW w:w="1366"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50:05:0100134:686-50/005/2019-1 от 04.10.2019</w:t>
            </w:r>
          </w:p>
        </w:tc>
        <w:tc>
          <w:tcPr>
            <w:tcW w:w="1564"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bl>
    <w:p>
      <w:pPr>
        <w:pStyle w:val="Normal"/>
        <w:jc w:val="left"/>
        <w:rPr>
          <w:sz w:val="24"/>
          <w:szCs w:val="28"/>
        </w:rPr>
      </w:pPr>
      <w:r>
        <w:rPr>
          <w:sz w:val="24"/>
          <w:szCs w:val="28"/>
        </w:rPr>
      </w:r>
    </w:p>
    <w:p>
      <w:pPr>
        <w:pStyle w:val="Normal"/>
        <w:jc w:val="left"/>
        <w:rPr>
          <w:sz w:val="24"/>
          <w:szCs w:val="28"/>
        </w:rPr>
      </w:pPr>
      <w:r>
        <w:rPr>
          <w:sz w:val="24"/>
          <w:szCs w:val="28"/>
        </w:rPr>
      </w:r>
    </w:p>
    <w:p>
      <w:pPr>
        <w:pStyle w:val="Normal"/>
        <w:jc w:val="left"/>
        <w:rPr>
          <w:sz w:val="24"/>
          <w:szCs w:val="28"/>
        </w:rPr>
      </w:pPr>
      <w:r>
        <w:rPr>
          <w:sz w:val="24"/>
          <w:szCs w:val="28"/>
        </w:rPr>
        <w:t>2.</w:t>
        <w:tab/>
        <w:t>Движимое имущество</w:t>
      </w:r>
    </w:p>
    <w:tbl>
      <w:tblPr>
        <w:tblStyle w:val="2110"/>
        <w:tblW w:w="11056" w:type="dxa"/>
        <w:jc w:val="left"/>
        <w:tblInd w:w="-459" w:type="dxa"/>
        <w:tblLayout w:type="fixed"/>
        <w:tblCellMar>
          <w:top w:w="0" w:type="dxa"/>
          <w:left w:w="108" w:type="dxa"/>
          <w:bottom w:w="0" w:type="dxa"/>
          <w:right w:w="108" w:type="dxa"/>
        </w:tblCellMar>
        <w:tblLook w:val="04a0" w:noHBand="0" w:noVBand="1" w:firstColumn="1" w:lastRow="0" w:lastColumn="0" w:firstRow="1"/>
      </w:tblPr>
      <w:tblGrid>
        <w:gridCol w:w="567"/>
        <w:gridCol w:w="3402"/>
        <w:gridCol w:w="2410"/>
        <w:gridCol w:w="850"/>
        <w:gridCol w:w="3827"/>
      </w:tblGrid>
      <w:tr>
        <w:trPr>
          <w:tblHeader w:val="true"/>
          <w:trHeight w:val="64" w:hRule="atLeast"/>
        </w:trPr>
        <w:tc>
          <w:tcPr>
            <w:tcW w:w="567"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w:t>
            </w:r>
          </w:p>
        </w:tc>
        <w:tc>
          <w:tcPr>
            <w:tcW w:w="3402"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Наименование объекта движимого имущества</w:t>
            </w:r>
          </w:p>
        </w:tc>
        <w:tc>
          <w:tcPr>
            <w:tcW w:w="2410"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Инвентарный номер</w:t>
            </w:r>
          </w:p>
        </w:tc>
        <w:tc>
          <w:tcPr>
            <w:tcW w:w="850"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Кол-во, шт.</w:t>
            </w:r>
          </w:p>
        </w:tc>
        <w:tc>
          <w:tcPr>
            <w:tcW w:w="3827" w:type="dxa"/>
            <w:tcBorders/>
            <w:vAlign w:val="center"/>
          </w:tcPr>
          <w:p>
            <w:pPr>
              <w:pStyle w:val="Normal"/>
              <w:keepNext w:val="true"/>
              <w:widowControl w:val="false"/>
              <w:suppressAutoHyphens w:val="true"/>
              <w:spacing w:before="0" w:after="0"/>
              <w:jc w:val="center"/>
              <w:rPr>
                <w:bCs/>
                <w:sz w:val="16"/>
                <w:szCs w:val="16"/>
              </w:rPr>
            </w:pPr>
            <w:r>
              <w:rPr>
                <w:rFonts w:eastAsia="Calibri" w:cs="Times New Roman"/>
                <w:b/>
                <w:bCs/>
                <w:kern w:val="0"/>
                <w:sz w:val="16"/>
                <w:szCs w:val="16"/>
                <w:lang w:val="ru-RU" w:eastAsia="en-US" w:bidi="ar-SA"/>
              </w:rPr>
              <w:t>Кадастровый номер земельного участка, на котором расположен объект</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Автомобильные весы</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400110</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Административно бытовой комплекс</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100021</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50:05:0100135:19</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3</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Конденсатонасосная.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100026</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4</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Лабораторно-администратиное здание. Бетонное хозяйство.</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100023</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50:05:0100135:19</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Наружное освещение территории бетонного хозяйства</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200049</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 50:05:0100135:3, 50:05:0100135:5, 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6</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Бетонный завод № 3</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100007</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7</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Временные бункера приема инертных материалов</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8</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Промежуточный склад заполнителей</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20007</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9</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Узел перегрузки.</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100006</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10</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Бетонный завод №1. Бетонное хозяйство</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100025</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11</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Бетонный завод № 2HZS-150.Бетонное хозяйство.</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100024</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50:05:0100135:3</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12</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Рециклинговая установка.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100032</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13</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Эстакада технологических трубопроводов. Бетонное хозяйство</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200054</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14</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Ограждение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200066</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15</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Хозяйственно-бытовая канализация.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20009</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 50:05:0100135:19</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16</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Хозяйственно-питьевой водопровод.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20010</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 50:05:0100135:19</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17</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Очистные сооружения и ливневая канализация Стройбазы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200072</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18</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Сети теплоснабжения и горячего водоснабжения.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200062</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19</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Технический водопровод от К1 сущ.до бетонных заводов №№ 1.2.3.(2 этап)</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200050</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20</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Наружные сети водопровода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200063</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21</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Наружные сети канализации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200064</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22</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Наружное освещение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200073</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23</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Электроснабжение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200070</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24</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Подъездная автодорога  к бетонному заводу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200047</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25</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Подъездная автодорога к складу заполнителей</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200046</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405"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26</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Проезды и площадки территории бетонного хозяйства.</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200048</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 50:05:0100135:19, 50:05:0100135:3, 50:05:0100135:5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27</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Подъездная и внутриплощадочная автодорога, площадка котельной. Стройбаза № 1</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200067</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50:05:0100135:55</w:t>
            </w:r>
          </w:p>
        </w:tc>
      </w:tr>
      <w:tr>
        <w:trPr>
          <w:trHeight w:val="64"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28</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Бетонное хозяйство. РММ и СБК</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color w:val="000000"/>
                <w:kern w:val="0"/>
                <w:sz w:val="16"/>
                <w:szCs w:val="16"/>
                <w:lang w:val="ru-RU" w:eastAsia="en-US" w:bidi="ar-SA"/>
              </w:rPr>
              <w:t>100022</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1</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50:05:0100135:5</w:t>
            </w:r>
          </w:p>
        </w:tc>
      </w:tr>
      <w:tr>
        <w:trPr>
          <w:trHeight w:val="405"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29</w:t>
            </w:r>
          </w:p>
        </w:tc>
        <w:tc>
          <w:tcPr>
            <w:tcW w:w="3402" w:type="dxa"/>
            <w:tcBorders/>
          </w:tcPr>
          <w:p>
            <w:pPr>
              <w:pStyle w:val="Normal"/>
              <w:keepNext w:val="true"/>
              <w:widowControl w:val="false"/>
              <w:suppressAutoHyphens w:val="true"/>
              <w:spacing w:before="120" w:after="0"/>
              <w:jc w:val="left"/>
              <w:rPr>
                <w:sz w:val="16"/>
              </w:rPr>
            </w:pPr>
            <w:r>
              <w:rPr>
                <w:rFonts w:eastAsia="Times New Roman" w:cs="Times New Roman"/>
                <w:kern w:val="0"/>
                <w:sz w:val="16"/>
                <w:szCs w:val="26"/>
                <w:lang w:val="ru-RU" w:eastAsia="en-US" w:bidi="ar-SA"/>
              </w:rPr>
              <w:t>Оборудование котельной на природном газе. Стройбаза № 1</w:t>
            </w:r>
          </w:p>
          <w:p>
            <w:pPr>
              <w:pStyle w:val="Normal"/>
              <w:keepNext w:val="true"/>
              <w:widowControl w:val="false"/>
              <w:suppressAutoHyphens w:val="true"/>
              <w:spacing w:before="0" w:after="0"/>
              <w:jc w:val="left"/>
              <w:rPr>
                <w:sz w:val="16"/>
                <w:szCs w:val="16"/>
              </w:rPr>
            </w:pPr>
            <w:r>
              <w:rPr>
                <w:sz w:val="16"/>
                <w:szCs w:val="16"/>
              </w:rPr>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kern w:val="0"/>
                <w:sz w:val="16"/>
                <w:szCs w:val="16"/>
                <w:lang w:val="ru-RU" w:eastAsia="en-US" w:bidi="ar-SA"/>
              </w:rPr>
              <w:t>40089</w:t>
            </w:r>
          </w:p>
        </w:tc>
        <w:tc>
          <w:tcPr>
            <w:tcW w:w="850" w:type="dxa"/>
            <w:tcBorders/>
          </w:tcPr>
          <w:p>
            <w:pPr>
              <w:pStyle w:val="Normal"/>
              <w:keepNext w:val="true"/>
              <w:widowControl w:val="false"/>
              <w:suppressAutoHyphens w:val="true"/>
              <w:spacing w:before="0" w:after="0"/>
              <w:jc w:val="center"/>
              <w:rPr>
                <w:rFonts w:eastAsia="Calibri"/>
                <w:sz w:val="16"/>
                <w:szCs w:val="16"/>
              </w:rPr>
            </w:pPr>
            <w:r>
              <w:rPr>
                <w:rFonts w:eastAsia="Calibri"/>
                <w:sz w:val="16"/>
                <w:szCs w:val="16"/>
              </w:rPr>
            </w:r>
          </w:p>
        </w:tc>
        <w:tc>
          <w:tcPr>
            <w:tcW w:w="3827" w:type="dxa"/>
            <w:tcBorders/>
          </w:tcPr>
          <w:p>
            <w:pPr>
              <w:pStyle w:val="Normal"/>
              <w:keepNext w:val="true"/>
              <w:widowControl w:val="false"/>
              <w:suppressAutoHyphens w:val="true"/>
              <w:spacing w:before="0" w:after="0"/>
              <w:jc w:val="center"/>
              <w:rPr>
                <w:rFonts w:eastAsia="Calibri"/>
                <w:sz w:val="16"/>
                <w:szCs w:val="16"/>
              </w:rPr>
            </w:pPr>
            <w:r>
              <w:rPr>
                <w:rFonts w:eastAsia="Calibri" w:cs="Times New Roman"/>
                <w:b/>
                <w:kern w:val="0"/>
                <w:sz w:val="16"/>
                <w:szCs w:val="16"/>
                <w:lang w:val="ru-RU" w:eastAsia="en-US" w:bidi="ar-SA"/>
              </w:rPr>
              <w:t>50:05:0100135:5</w:t>
            </w:r>
          </w:p>
        </w:tc>
      </w:tr>
      <w:tr>
        <w:trPr>
          <w:trHeight w:val="405" w:hRule="atLeast"/>
        </w:trPr>
        <w:tc>
          <w:tcPr>
            <w:tcW w:w="56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30</w:t>
            </w:r>
          </w:p>
        </w:tc>
        <w:tc>
          <w:tcPr>
            <w:tcW w:w="3402" w:type="dxa"/>
            <w:tcBorders/>
          </w:tcPr>
          <w:p>
            <w:pPr>
              <w:pStyle w:val="Normal"/>
              <w:keepNext w:val="true"/>
              <w:widowControl w:val="false"/>
              <w:suppressAutoHyphens w:val="true"/>
              <w:spacing w:before="0" w:after="0"/>
              <w:jc w:val="left"/>
              <w:rPr>
                <w:sz w:val="16"/>
                <w:szCs w:val="16"/>
              </w:rPr>
            </w:pPr>
            <w:r>
              <w:rPr>
                <w:rFonts w:eastAsia="Calibri" w:cs="Times New Roman"/>
                <w:b/>
                <w:kern w:val="0"/>
                <w:sz w:val="16"/>
                <w:szCs w:val="16"/>
                <w:lang w:val="ru-RU" w:eastAsia="en-US" w:bidi="ar-SA"/>
              </w:rPr>
              <w:t>Прочие машины и оборудование (44 шт.)</w:t>
            </w:r>
          </w:p>
        </w:tc>
        <w:tc>
          <w:tcPr>
            <w:tcW w:w="2410" w:type="dxa"/>
            <w:tcBorders/>
          </w:tcPr>
          <w:p>
            <w:pPr>
              <w:pStyle w:val="Normal"/>
              <w:keepNext w:val="true"/>
              <w:widowControl w:val="false"/>
              <w:suppressAutoHyphens w:val="true"/>
              <w:spacing w:before="0" w:after="0"/>
              <w:jc w:val="center"/>
              <w:rPr>
                <w:lang w:eastAsia="en-US"/>
              </w:rPr>
            </w:pPr>
            <w:r>
              <w:rPr>
                <w:rFonts w:eastAsia="Calibri" w:cs="Times New Roman"/>
                <w:b/>
                <w:kern w:val="0"/>
                <w:sz w:val="16"/>
                <w:szCs w:val="16"/>
                <w:lang w:val="ru-RU" w:eastAsia="en-US" w:bidi="ar-SA"/>
              </w:rPr>
              <w:t>702342, 40005, 40002, 40003, 40004, 40008, 40006, 40001, 40007, 400120, 400121, 400122, 400123, 400133, 400117, 400116, 400118, 400119, 400115, 400114, 400113, 400112, 400124, 400125, 400126, 400127, 400129, 400130, 400131, 400132, 400136, 400135, 400138, 40090, 200055, 400139, 700344, 700345, 700346, 400134, 400137, 400128, 400111</w:t>
            </w:r>
          </w:p>
        </w:tc>
        <w:tc>
          <w:tcPr>
            <w:tcW w:w="850"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43</w:t>
            </w:r>
          </w:p>
        </w:tc>
        <w:tc>
          <w:tcPr>
            <w:tcW w:w="3827" w:type="dxa"/>
            <w:tcBorders/>
          </w:tcPr>
          <w:p>
            <w:pPr>
              <w:pStyle w:val="Normal"/>
              <w:keepNext w:val="true"/>
              <w:widowControl w:val="false"/>
              <w:suppressAutoHyphens w:val="true"/>
              <w:spacing w:before="0" w:after="0"/>
              <w:jc w:val="center"/>
              <w:rPr>
                <w:sz w:val="16"/>
                <w:szCs w:val="16"/>
              </w:rPr>
            </w:pPr>
            <w:r>
              <w:rPr>
                <w:rFonts w:eastAsia="Calibri" w:cs="Times New Roman"/>
                <w:b/>
                <w:kern w:val="0"/>
                <w:sz w:val="16"/>
                <w:szCs w:val="16"/>
                <w:lang w:val="ru-RU" w:eastAsia="en-US" w:bidi="ar-SA"/>
              </w:rPr>
              <w:t>50:05:0100135:24, 50:05:0100135:55, 50:05:0100135:54, 50:05:0100135:19, 50:05:0100135:3, 50:05:0100135:5</w:t>
            </w:r>
          </w:p>
        </w:tc>
      </w:tr>
    </w:tbl>
    <w:p>
      <w:pPr>
        <w:pStyle w:val="Normal"/>
        <w:jc w:val="left"/>
        <w:rPr>
          <w:sz w:val="24"/>
          <w:szCs w:val="28"/>
        </w:rPr>
      </w:pPr>
      <w:r>
        <w:rPr>
          <w:sz w:val="24"/>
          <w:szCs w:val="28"/>
        </w:rPr>
      </w:r>
    </w:p>
    <w:p>
      <w:pPr>
        <w:pStyle w:val="Normal"/>
        <w:spacing w:before="0" w:after="0"/>
        <w:jc w:val="center"/>
        <w:rPr>
          <w:b/>
        </w:rPr>
      </w:pPr>
      <w:r>
        <w:rPr>
          <w:b/>
        </w:rPr>
      </w:r>
    </w:p>
    <w:p>
      <w:pPr>
        <w:pStyle w:val="Normal"/>
        <w:spacing w:before="0" w:after="0"/>
        <w:jc w:val="center"/>
        <w:rPr>
          <w:b/>
        </w:rPr>
      </w:pPr>
      <w:r>
        <w:rPr>
          <w:b/>
        </w:rPr>
      </w:r>
    </w:p>
    <w:p>
      <w:pPr>
        <w:pStyle w:val="Normal"/>
        <w:spacing w:before="0" w:after="0"/>
        <w:jc w:val="center"/>
        <w:rPr>
          <w:b/>
        </w:rPr>
      </w:pPr>
      <w:r>
        <w:rPr/>
        <w:drawing>
          <wp:inline distT="0" distB="0" distL="0" distR="0">
            <wp:extent cx="6475095" cy="3466465"/>
            <wp:effectExtent l="0" t="0" r="0" b="0"/>
            <wp:docPr id="1"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
                    <pic:cNvPicPr>
                      <a:picLocks noChangeAspect="1" noChangeArrowheads="1"/>
                    </pic:cNvPicPr>
                  </pic:nvPicPr>
                  <pic:blipFill>
                    <a:blip r:embed="rId4"/>
                    <a:stretch>
                      <a:fillRect/>
                    </a:stretch>
                  </pic:blipFill>
                  <pic:spPr bwMode="auto">
                    <a:xfrm>
                      <a:off x="0" y="0"/>
                      <a:ext cx="6475095" cy="3466465"/>
                    </a:xfrm>
                    <a:prstGeom prst="rect">
                      <a:avLst/>
                    </a:prstGeom>
                  </pic:spPr>
                </pic:pic>
              </a:graphicData>
            </a:graphic>
          </wp:inline>
        </w:drawing>
      </w:r>
    </w:p>
    <w:p>
      <w:pPr>
        <w:pStyle w:val="Normal"/>
        <w:spacing w:before="0" w:after="0"/>
        <w:jc w:val="center"/>
        <w:rPr>
          <w:b/>
        </w:rPr>
      </w:pPr>
      <w:r>
        <w:rPr>
          <w:b/>
        </w:rPr>
      </w:r>
    </w:p>
    <w:p>
      <w:pPr>
        <w:pStyle w:val="Normal"/>
        <w:spacing w:before="0" w:after="0"/>
        <w:jc w:val="center"/>
        <w:rPr>
          <w:b/>
        </w:rPr>
      </w:pPr>
      <w:r>
        <w:rPr/>
        <w:drawing>
          <wp:inline distT="0" distB="0" distL="0" distR="0">
            <wp:extent cx="6475095" cy="3455670"/>
            <wp:effectExtent l="0" t="0" r="0" b="0"/>
            <wp:docPr id="2"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 descr=""/>
                    <pic:cNvPicPr>
                      <a:picLocks noChangeAspect="1" noChangeArrowheads="1"/>
                    </pic:cNvPicPr>
                  </pic:nvPicPr>
                  <pic:blipFill>
                    <a:blip r:embed="rId5"/>
                    <a:stretch>
                      <a:fillRect/>
                    </a:stretch>
                  </pic:blipFill>
                  <pic:spPr bwMode="auto">
                    <a:xfrm>
                      <a:off x="0" y="0"/>
                      <a:ext cx="6475095" cy="3455670"/>
                    </a:xfrm>
                    <a:prstGeom prst="rect">
                      <a:avLst/>
                    </a:prstGeom>
                  </pic:spPr>
                </pic:pic>
              </a:graphicData>
            </a:graphic>
          </wp:inline>
        </w:drawing>
      </w:r>
    </w:p>
    <w:p>
      <w:pPr>
        <w:pStyle w:val="Normal"/>
        <w:spacing w:before="0" w:after="0"/>
        <w:jc w:val="center"/>
        <w:rPr>
          <w:b/>
        </w:rPr>
      </w:pPr>
      <w:r>
        <w:rPr>
          <w:b/>
        </w:rPr>
      </w:r>
    </w:p>
    <w:p>
      <w:pPr>
        <w:pStyle w:val="Normal"/>
        <w:spacing w:before="0" w:after="0"/>
        <w:jc w:val="center"/>
        <w:rPr>
          <w:b/>
        </w:rPr>
      </w:pPr>
      <w:r>
        <w:rPr/>
        <w:drawing>
          <wp:inline distT="0" distB="0" distL="0" distR="0">
            <wp:extent cx="6475095" cy="3434080"/>
            <wp:effectExtent l="0" t="0" r="0" b="0"/>
            <wp:docPr id="3"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descr=""/>
                    <pic:cNvPicPr>
                      <a:picLocks noChangeAspect="1" noChangeArrowheads="1"/>
                    </pic:cNvPicPr>
                  </pic:nvPicPr>
                  <pic:blipFill>
                    <a:blip r:embed="rId6"/>
                    <a:stretch>
                      <a:fillRect/>
                    </a:stretch>
                  </pic:blipFill>
                  <pic:spPr bwMode="auto">
                    <a:xfrm>
                      <a:off x="0" y="0"/>
                      <a:ext cx="6475095" cy="3434080"/>
                    </a:xfrm>
                    <a:prstGeom prst="rect">
                      <a:avLst/>
                    </a:prstGeom>
                  </pic:spPr>
                </pic:pic>
              </a:graphicData>
            </a:graphic>
          </wp:inline>
        </w:drawing>
      </w:r>
    </w:p>
    <w:p>
      <w:pPr>
        <w:pStyle w:val="Normal"/>
        <w:spacing w:before="0" w:after="0"/>
        <w:jc w:val="center"/>
        <w:rPr>
          <w:b/>
        </w:rPr>
      </w:pPr>
      <w:r>
        <w:rPr>
          <w:b/>
        </w:rPr>
      </w:r>
    </w:p>
    <w:p>
      <w:pPr>
        <w:pStyle w:val="Normal"/>
        <w:spacing w:before="0" w:after="0"/>
        <w:jc w:val="center"/>
        <w:rPr>
          <w:b/>
        </w:rPr>
      </w:pPr>
      <w:r>
        <w:rPr/>
        <w:drawing>
          <wp:inline distT="0" distB="0" distL="0" distR="0">
            <wp:extent cx="6475095" cy="3444875"/>
            <wp:effectExtent l="0" t="0" r="0" b="0"/>
            <wp:docPr id="4"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descr=""/>
                    <pic:cNvPicPr>
                      <a:picLocks noChangeAspect="1" noChangeArrowheads="1"/>
                    </pic:cNvPicPr>
                  </pic:nvPicPr>
                  <pic:blipFill>
                    <a:blip r:embed="rId7"/>
                    <a:stretch>
                      <a:fillRect/>
                    </a:stretch>
                  </pic:blipFill>
                  <pic:spPr bwMode="auto">
                    <a:xfrm>
                      <a:off x="0" y="0"/>
                      <a:ext cx="6475095" cy="3444875"/>
                    </a:xfrm>
                    <a:prstGeom prst="rect">
                      <a:avLst/>
                    </a:prstGeom>
                  </pic:spPr>
                </pic:pic>
              </a:graphicData>
            </a:graphic>
          </wp:inline>
        </w:drawing>
      </w:r>
    </w:p>
    <w:p>
      <w:pPr>
        <w:pStyle w:val="Normal"/>
        <w:spacing w:before="0" w:after="0"/>
        <w:jc w:val="right"/>
        <w:rPr>
          <w:sz w:val="24"/>
          <w:szCs w:val="24"/>
        </w:rPr>
      </w:pPr>
      <w:r>
        <w:rPr/>
        <w:drawing>
          <wp:inline distT="0" distB="0" distL="0" distR="0">
            <wp:extent cx="6480175" cy="5275580"/>
            <wp:effectExtent l="0" t="0" r="0" b="0"/>
            <wp:docPr id="5"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descr=""/>
                    <pic:cNvPicPr>
                      <a:picLocks noChangeAspect="1" noChangeArrowheads="1"/>
                    </pic:cNvPicPr>
                  </pic:nvPicPr>
                  <pic:blipFill>
                    <a:blip r:embed="rId8"/>
                    <a:stretch>
                      <a:fillRect/>
                    </a:stretch>
                  </pic:blipFill>
                  <pic:spPr bwMode="auto">
                    <a:xfrm>
                      <a:off x="0" y="0"/>
                      <a:ext cx="6480175" cy="5275580"/>
                    </a:xfrm>
                    <a:prstGeom prst="rect">
                      <a:avLst/>
                    </a:prstGeom>
                  </pic:spPr>
                </pic:pic>
              </a:graphicData>
            </a:graphic>
          </wp:inline>
        </w:drawing>
      </w:r>
    </w:p>
    <w:p>
      <w:pPr>
        <w:pStyle w:val="Normal"/>
        <w:spacing w:before="0" w:after="0"/>
        <w:jc w:val="right"/>
        <w:rPr/>
      </w:pPr>
      <w:r>
        <w:rPr/>
        <w:t>Бетонный завод № 2, склад заполнителей, промежуточный склад заполнителей</w:t>
      </w:r>
    </w:p>
    <w:p>
      <w:pPr>
        <w:pStyle w:val="Normal"/>
        <w:spacing w:before="0" w:after="0"/>
        <w:jc w:val="right"/>
        <w:rPr>
          <w:sz w:val="24"/>
          <w:szCs w:val="24"/>
        </w:rPr>
      </w:pPr>
      <w:r>
        <w:rPr/>
        <w:drawing>
          <wp:inline distT="0" distB="0" distL="0" distR="0">
            <wp:extent cx="6478905" cy="3289300"/>
            <wp:effectExtent l="0" t="0" r="0" b="0"/>
            <wp:docPr id="6"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
                    <pic:cNvPicPr>
                      <a:picLocks noChangeAspect="1" noChangeArrowheads="1"/>
                    </pic:cNvPicPr>
                  </pic:nvPicPr>
                  <pic:blipFill>
                    <a:blip r:embed="rId9"/>
                    <a:stretch>
                      <a:fillRect/>
                    </a:stretch>
                  </pic:blipFill>
                  <pic:spPr bwMode="auto">
                    <a:xfrm>
                      <a:off x="0" y="0"/>
                      <a:ext cx="6478905" cy="3289300"/>
                    </a:xfrm>
                    <a:prstGeom prst="rect">
                      <a:avLst/>
                    </a:prstGeom>
                  </pic:spPr>
                </pic:pic>
              </a:graphicData>
            </a:graphic>
          </wp:inline>
        </w:drawing>
      </w:r>
    </w:p>
    <w:p>
      <w:pPr>
        <w:pStyle w:val="Normal"/>
        <w:spacing w:before="0" w:after="0"/>
        <w:jc w:val="right"/>
        <w:rPr/>
      </w:pPr>
      <w:r>
        <w:rPr/>
        <w:t>Склады цемента и бетонный завод № 1</w:t>
      </w:r>
    </w:p>
    <w:p>
      <w:pPr>
        <w:pStyle w:val="Normal"/>
        <w:spacing w:before="0" w:after="0"/>
        <w:jc w:val="right"/>
        <w:rPr>
          <w:sz w:val="24"/>
          <w:szCs w:val="24"/>
        </w:rPr>
      </w:pPr>
      <w:r>
        <w:rPr/>
        <w:drawing>
          <wp:inline distT="0" distB="0" distL="0" distR="0">
            <wp:extent cx="6479540" cy="4726305"/>
            <wp:effectExtent l="0" t="0" r="0" b="0"/>
            <wp:docPr id="7"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 descr=""/>
                    <pic:cNvPicPr>
                      <a:picLocks noChangeAspect="1" noChangeArrowheads="1"/>
                    </pic:cNvPicPr>
                  </pic:nvPicPr>
                  <pic:blipFill>
                    <a:blip r:embed="rId10"/>
                    <a:stretch>
                      <a:fillRect/>
                    </a:stretch>
                  </pic:blipFill>
                  <pic:spPr bwMode="auto">
                    <a:xfrm>
                      <a:off x="0" y="0"/>
                      <a:ext cx="6479540" cy="4726305"/>
                    </a:xfrm>
                    <a:prstGeom prst="rect">
                      <a:avLst/>
                    </a:prstGeom>
                  </pic:spPr>
                </pic:pic>
              </a:graphicData>
            </a:graphic>
          </wp:inline>
        </w:drawing>
      </w:r>
    </w:p>
    <w:p>
      <w:pPr>
        <w:pStyle w:val="Normal"/>
        <w:spacing w:before="0" w:after="0"/>
        <w:jc w:val="right"/>
        <w:rPr/>
      </w:pPr>
      <w:r>
        <w:rPr/>
        <w:t>Бетонный завод № 2, промежуточный склад заполнителей, галерея крупного заполнителя</w:t>
      </w:r>
    </w:p>
    <w:p>
      <w:pPr>
        <w:pStyle w:val="Normal"/>
        <w:spacing w:before="0" w:after="0"/>
        <w:jc w:val="right"/>
        <w:rPr>
          <w:sz w:val="24"/>
          <w:szCs w:val="24"/>
        </w:rPr>
      </w:pPr>
      <w:r>
        <w:rPr/>
        <w:drawing>
          <wp:inline distT="0" distB="0" distL="0" distR="0">
            <wp:extent cx="6478905" cy="3847465"/>
            <wp:effectExtent l="0" t="0" r="0" b="0"/>
            <wp:docPr id="8"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4" descr=""/>
                    <pic:cNvPicPr>
                      <a:picLocks noChangeAspect="1" noChangeArrowheads="1"/>
                    </pic:cNvPicPr>
                  </pic:nvPicPr>
                  <pic:blipFill>
                    <a:blip r:embed="rId11"/>
                    <a:stretch>
                      <a:fillRect/>
                    </a:stretch>
                  </pic:blipFill>
                  <pic:spPr bwMode="auto">
                    <a:xfrm>
                      <a:off x="0" y="0"/>
                      <a:ext cx="6478905" cy="3847465"/>
                    </a:xfrm>
                    <a:prstGeom prst="rect">
                      <a:avLst/>
                    </a:prstGeom>
                  </pic:spPr>
                </pic:pic>
              </a:graphicData>
            </a:graphic>
          </wp:inline>
        </w:drawing>
      </w:r>
    </w:p>
    <w:p>
      <w:pPr>
        <w:pStyle w:val="Normal"/>
        <w:spacing w:before="0" w:after="0"/>
        <w:jc w:val="right"/>
        <w:rPr/>
      </w:pPr>
      <w:r>
        <w:rPr/>
        <w:t>Рециклинговая установка, склад цемента</w:t>
      </w:r>
    </w:p>
    <w:p>
      <w:pPr>
        <w:pStyle w:val="Heading1"/>
        <w:rPr>
          <w:rFonts w:ascii="Times New Roman" w:hAnsi="Times New Roman"/>
          <w:sz w:val="28"/>
          <w:szCs w:val="28"/>
        </w:rPr>
      </w:pPr>
      <w:bookmarkStart w:id="562" w:name="_Toc187829933"/>
      <w:bookmarkStart w:id="563" w:name="_Ref324342543"/>
      <w:bookmarkStart w:id="564" w:name="_Ref324332106"/>
      <w:bookmarkStart w:id="565" w:name="_Ref324342826"/>
      <w:bookmarkStart w:id="566" w:name="_Ref324341734"/>
      <w:bookmarkStart w:id="567" w:name="_Toc536798328"/>
      <w:bookmarkStart w:id="568" w:name="_Ref384117211"/>
      <w:bookmarkStart w:id="569" w:name="_Ref384118604"/>
      <w:bookmarkStart w:id="570" w:name="_Ref468102866"/>
      <w:bookmarkEnd w:id="568"/>
      <w:bookmarkEnd w:id="569"/>
      <w:bookmarkEnd w:id="570"/>
      <w:r>
        <w:rPr>
          <w:rFonts w:ascii="Times New Roman" w:hAnsi="Times New Roman"/>
          <w:b w:val="false"/>
          <w:sz w:val="24"/>
          <w:szCs w:val="24"/>
        </w:rPr>
        <w:t>Приложение № 2</w:t>
      </w:r>
      <w:bookmarkEnd w:id="562"/>
      <w:bookmarkEnd w:id="563"/>
      <w:bookmarkEnd w:id="564"/>
      <w:bookmarkEnd w:id="565"/>
      <w:bookmarkEnd w:id="566"/>
      <w:bookmarkEnd w:id="567"/>
    </w:p>
    <w:p>
      <w:pPr>
        <w:pStyle w:val="Style25"/>
        <w:numPr>
          <w:ilvl w:val="0"/>
          <w:numId w:val="0"/>
        </w:numPr>
        <w:ind w:left="1134" w:hanging="0"/>
        <w:rPr/>
      </w:pPr>
      <w:r>
        <w:rPr/>
      </w:r>
    </w:p>
    <w:p>
      <w:pPr>
        <w:pStyle w:val="Style25"/>
        <w:numPr>
          <w:ilvl w:val="0"/>
          <w:numId w:val="0"/>
        </w:numPr>
        <w:ind w:left="0" w:hanging="0"/>
        <w:jc w:val="center"/>
        <w:rPr>
          <w:b/>
        </w:rPr>
      </w:pPr>
      <w:r>
        <w:rPr>
          <w:b/>
          <w:sz w:val="28"/>
          <w:szCs w:val="28"/>
        </w:rPr>
        <w:t>ПРОЕКТ ДОГОВОРА КУПЛИ-ПРОДАЖИ</w:t>
      </w:r>
    </w:p>
    <w:p>
      <w:pPr>
        <w:pStyle w:val="Style25"/>
        <w:numPr>
          <w:ilvl w:val="0"/>
          <w:numId w:val="0"/>
        </w:numPr>
        <w:ind w:left="0" w:hanging="0"/>
        <w:rPr/>
      </w:pPr>
      <w:r>
        <w:rPr/>
      </w:r>
    </w:p>
    <w:p>
      <w:pPr>
        <w:pStyle w:val="Style25"/>
        <w:numPr>
          <w:ilvl w:val="0"/>
          <w:numId w:val="0"/>
        </w:numPr>
        <w:ind w:left="0" w:hanging="0"/>
        <w:rPr/>
      </w:pPr>
      <w:bookmarkStart w:id="571" w:name="_Toc514805482"/>
      <w:bookmarkStart w:id="572" w:name="_Toc514814127"/>
      <w:bookmarkStart w:id="573" w:name="_Toc536798329"/>
      <w:bookmarkStart w:id="574" w:name="_Toc515659386"/>
      <w:bookmarkStart w:id="575" w:name="_Toc515887606"/>
      <w:r>
        <w:rPr/>
        <w:t>Пояснения к проекту Договора</w:t>
      </w:r>
      <w:bookmarkEnd w:id="571"/>
      <w:bookmarkEnd w:id="572"/>
      <w:bookmarkEnd w:id="573"/>
      <w:bookmarkEnd w:id="574"/>
      <w:bookmarkEnd w:id="575"/>
      <w:r>
        <w:rPr/>
        <w:t xml:space="preserve"> купли-продажи:</w:t>
      </w:r>
    </w:p>
    <w:p>
      <w:pPr>
        <w:pStyle w:val="Style25"/>
        <w:numPr>
          <w:ilvl w:val="0"/>
          <w:numId w:val="0"/>
        </w:numPr>
        <w:ind w:left="0" w:hanging="0"/>
        <w:rPr/>
      </w:pPr>
      <w:r>
        <w:rPr/>
        <w:t>-</w:t>
        <w:tab/>
        <w:t>все положения проекта Договора являются существенными условиями для Продавца;</w:t>
      </w:r>
    </w:p>
    <w:p>
      <w:pPr>
        <w:pStyle w:val="Style25"/>
        <w:numPr>
          <w:ilvl w:val="0"/>
          <w:numId w:val="0"/>
        </w:numPr>
        <w:ind w:left="0" w:hanging="0"/>
        <w:rPr/>
      </w:pPr>
      <w:r>
        <w:rPr/>
        <w:t>-</w:t>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pPr>
        <w:pStyle w:val="Style25"/>
        <w:numPr>
          <w:ilvl w:val="0"/>
          <w:numId w:val="0"/>
        </w:numPr>
        <w:ind w:left="0" w:hanging="0"/>
        <w:rPr/>
      </w:pPr>
      <w:r>
        <w:rPr/>
        <w:t>-</w:t>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pPr>
        <w:pStyle w:val="Style25"/>
        <w:numPr>
          <w:ilvl w:val="0"/>
          <w:numId w:val="0"/>
        </w:numPr>
        <w:ind w:left="0" w:hanging="0"/>
        <w:rPr/>
      </w:pPr>
      <w:r>
        <w:rPr/>
      </w:r>
    </w:p>
    <w:p>
      <w:pPr>
        <w:pStyle w:val="Normal"/>
        <w:spacing w:before="0" w:after="0"/>
        <w:jc w:val="center"/>
        <w:rPr>
          <w:b/>
        </w:rPr>
      </w:pPr>
      <w:r>
        <w:rPr>
          <w:b/>
        </w:rPr>
        <w:t>Договор купли-продажи имущества № ___________</w:t>
      </w:r>
    </w:p>
    <w:p>
      <w:pPr>
        <w:pStyle w:val="Normal"/>
        <w:spacing w:before="0" w:after="0"/>
        <w:jc w:val="center"/>
        <w:rPr>
          <w:b/>
          <w:u w:val="single"/>
        </w:rPr>
      </w:pPr>
      <w:r>
        <w:rPr>
          <w:b/>
          <w:u w:val="single"/>
        </w:rPr>
      </w:r>
    </w:p>
    <w:p>
      <w:pPr>
        <w:pStyle w:val="Normal"/>
        <w:spacing w:before="0" w:after="0"/>
        <w:jc w:val="left"/>
        <w:rPr/>
      </w:pPr>
      <w:r>
        <w:rPr/>
        <w:t>р.п. Богородское</w:t>
        <w:tab/>
        <w:tab/>
        <w:tab/>
        <w:tab/>
        <w:tab/>
        <w:t xml:space="preserve">                                           </w:t>
        <w:softHyphen/>
        <w:softHyphen/>
        <w:t>«__» ___________ 20__ г.</w:t>
      </w:r>
    </w:p>
    <w:p>
      <w:pPr>
        <w:pStyle w:val="Normal"/>
        <w:spacing w:before="0" w:after="0"/>
        <w:jc w:val="left"/>
        <w:rPr/>
      </w:pPr>
      <w:r>
        <w:rPr/>
      </w:r>
    </w:p>
    <w:p>
      <w:pPr>
        <w:pStyle w:val="Normal"/>
        <w:tabs>
          <w:tab w:val="clear" w:pos="567"/>
          <w:tab w:val="left" w:pos="0" w:leader="none"/>
        </w:tabs>
        <w:spacing w:before="0" w:after="0"/>
        <w:ind w:firstLine="709"/>
        <w:rPr/>
      </w:pPr>
      <w:r>
        <w:rPr>
          <w:b/>
        </w:rPr>
        <w:t>Акционерное общество «Загорская ГАЭС-2» (АО «Загорская ГАЭС-2»)</w:t>
      </w:r>
      <w:r>
        <w:rPr/>
        <w:t xml:space="preserve">, в лице _________________________________________, действующего на основании __________________________, именуемое в дальнейшем «Продавец» с одной стороны и </w:t>
      </w:r>
    </w:p>
    <w:p>
      <w:pPr>
        <w:pStyle w:val="Normal"/>
        <w:tabs>
          <w:tab w:val="clear" w:pos="567"/>
          <w:tab w:val="left" w:pos="0" w:leader="none"/>
        </w:tabs>
        <w:spacing w:before="0" w:after="0"/>
        <w:ind w:firstLine="709"/>
        <w:rPr/>
      </w:pPr>
      <w:r>
        <w:rPr/>
        <w:t xml:space="preserve">__________________________________________________________________, в лице ______________________________________________, действующего на основании _____________________, именуемый в дальнейшем «Покупатель», с другой стороны, </w:t>
      </w:r>
    </w:p>
    <w:p>
      <w:pPr>
        <w:pStyle w:val="Normal"/>
        <w:tabs>
          <w:tab w:val="clear" w:pos="567"/>
          <w:tab w:val="left" w:pos="0" w:leader="none"/>
        </w:tabs>
        <w:spacing w:before="0" w:after="0"/>
        <w:ind w:firstLine="709"/>
        <w:rPr/>
      </w:pPr>
      <w:r>
        <w:rPr/>
        <w:t>а вместе именуемые «Стороны», заключили настоящий договор (далее – «Договор») о нижеследующем:</w:t>
      </w:r>
    </w:p>
    <w:p>
      <w:pPr>
        <w:pStyle w:val="Normal"/>
        <w:tabs>
          <w:tab w:val="clear" w:pos="567"/>
          <w:tab w:val="left" w:pos="0" w:leader="none"/>
        </w:tabs>
        <w:spacing w:before="0" w:after="0"/>
        <w:ind w:firstLine="709"/>
        <w:rPr/>
      </w:pPr>
      <w:r>
        <w:rPr/>
      </w:r>
    </w:p>
    <w:p>
      <w:pPr>
        <w:pStyle w:val="ListParagraph"/>
        <w:numPr>
          <w:ilvl w:val="0"/>
          <w:numId w:val="13"/>
        </w:numPr>
        <w:spacing w:before="0" w:after="0"/>
        <w:contextualSpacing/>
        <w:jc w:val="center"/>
        <w:rPr>
          <w:rFonts w:ascii="Times New Roman" w:hAnsi="Times New Roman"/>
          <w:b/>
          <w:sz w:val="26"/>
        </w:rPr>
      </w:pPr>
      <w:r>
        <w:rPr>
          <w:rFonts w:ascii="Times New Roman" w:hAnsi="Times New Roman"/>
          <w:b/>
          <w:sz w:val="26"/>
        </w:rPr>
        <w:t>Предмет Договора</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Продавец обязуется передать в собственность, а Покупатель обязуется принять и оплатить в соответствии с условиями Договора комплекс объектов производственной площадки, расположенный по адресу: Московская обл., Сергиево-Посадский городской округ, пос. Богородское», указанное в Приложении №1 «Перечень имущества» являющееся неотъемлемой частью Договора (далее – «Имущество»).</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На дату заключения Договора Имущество принадлежит Продавцу на праве собственности, не находится под арестом, не заложено, не является предметом судебного разбирательства, правопритязания третьих лиц отсутствуют.</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 xml:space="preserve">На дату заключения Договора, техническое состояние Имущества Покупателю известно, претензий по техническому состоянию, качеству Имущества Покупатель не имеет. </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Право собственности на недвижимое имущество возникает у Покупателя с даты государственной регистрации права собственности Покупателя на Имущество в Едином государственном реестре недвижимости.</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Одновременно с переходом права собственности на Имущество к Покупателю переходит право аренды земельных участков, занятых недвижимым Имуществом и необходимых для его использования. Кадастровые номера земельных участков50:05:0100135:24</w:t>
      </w:r>
      <w:r>
        <w:rPr>
          <w:lang w:val="en-US"/>
        </w:rPr>
        <w:t xml:space="preserve">, </w:t>
      </w:r>
      <w:r>
        <w:rPr/>
        <w:t>50:05:0100135:55</w:t>
      </w:r>
      <w:r>
        <w:rPr>
          <w:lang w:val="en-US"/>
        </w:rPr>
        <w:t xml:space="preserve">, </w:t>
      </w:r>
      <w:r>
        <w:rPr/>
        <w:t>50:05:0100135:54</w:t>
      </w:r>
      <w:r>
        <w:rPr>
          <w:lang w:val="en-US"/>
        </w:rPr>
        <w:t xml:space="preserve">, </w:t>
      </w:r>
      <w:r>
        <w:rPr/>
        <w:t>50:05:0100135:3</w:t>
      </w:r>
      <w:r>
        <w:rPr>
          <w:lang w:val="en-US"/>
        </w:rPr>
        <w:t xml:space="preserve">, </w:t>
      </w:r>
      <w:r>
        <w:rPr/>
        <w:t>50:05:0100135:19</w:t>
      </w:r>
      <w:r>
        <w:rPr>
          <w:lang w:val="en-US"/>
        </w:rPr>
        <w:t xml:space="preserve">, </w:t>
      </w:r>
      <w:r>
        <w:rPr/>
        <w:t>50:05:0100135:5.</w:t>
      </w:r>
    </w:p>
    <w:p>
      <w:pPr>
        <w:pStyle w:val="Normal"/>
        <w:widowControl w:val="false"/>
        <w:numPr>
          <w:ilvl w:val="1"/>
          <w:numId w:val="13"/>
        </w:numPr>
        <w:shd w:val="clear" w:color="auto" w:fill="FFFFFF"/>
        <w:tabs>
          <w:tab w:val="clear" w:pos="567"/>
          <w:tab w:val="left" w:pos="533" w:leader="none"/>
          <w:tab w:val="left" w:pos="993" w:leader="none"/>
        </w:tabs>
        <w:spacing w:before="0" w:after="0"/>
        <w:ind w:left="0" w:firstLine="709"/>
        <w:rPr/>
      </w:pPr>
      <w:r>
        <w:rPr/>
        <w:t>Регистрация перехода права собственности на Имущество осуществляется силами и за счет Покупателя.</w:t>
      </w:r>
    </w:p>
    <w:p>
      <w:pPr>
        <w:pStyle w:val="Normal"/>
        <w:widowControl w:val="false"/>
        <w:shd w:val="clear" w:color="auto" w:fill="FFFFFF"/>
        <w:tabs>
          <w:tab w:val="clear" w:pos="567"/>
          <w:tab w:val="left" w:pos="533" w:leader="none"/>
          <w:tab w:val="left" w:pos="993" w:leader="none"/>
        </w:tabs>
        <w:spacing w:before="0" w:after="0"/>
        <w:ind w:left="709" w:hanging="0"/>
        <w:rPr/>
      </w:pPr>
      <w:r>
        <w:rPr/>
      </w:r>
    </w:p>
    <w:p>
      <w:pPr>
        <w:pStyle w:val="ListParagraph"/>
        <w:numPr>
          <w:ilvl w:val="0"/>
          <w:numId w:val="13"/>
        </w:numPr>
        <w:spacing w:before="0" w:after="0"/>
        <w:contextualSpacing/>
        <w:jc w:val="center"/>
        <w:rPr>
          <w:rFonts w:ascii="Times New Roman" w:hAnsi="Times New Roman"/>
          <w:b/>
          <w:sz w:val="26"/>
        </w:rPr>
      </w:pPr>
      <w:r>
        <w:rPr>
          <w:rFonts w:ascii="Times New Roman" w:hAnsi="Times New Roman"/>
          <w:b/>
          <w:sz w:val="26"/>
        </w:rPr>
        <w:t>Стоимость и порядок оплаты</w:t>
      </w:r>
    </w:p>
    <w:p>
      <w:pPr>
        <w:pStyle w:val="ListParagraph"/>
        <w:numPr>
          <w:ilvl w:val="1"/>
          <w:numId w:val="13"/>
        </w:numPr>
        <w:spacing w:before="0" w:after="0"/>
        <w:ind w:left="0" w:firstLine="709"/>
        <w:contextualSpacing/>
        <w:jc w:val="both"/>
        <w:rPr>
          <w:rFonts w:ascii="Times New Roman" w:hAnsi="Times New Roman"/>
          <w:sz w:val="26"/>
        </w:rPr>
      </w:pPr>
      <w:r>
        <w:rPr>
          <w:rFonts w:ascii="Times New Roman" w:hAnsi="Times New Roman"/>
          <w:sz w:val="26"/>
        </w:rPr>
        <w:t>В соответствии с Протоколом о результатах аукциона от «__» ________ 20__ г. общая стоимость Имущества по Договору составляет __________ (____________________) рублей __ копеек в том числе НДС 20% в размере ___________ (_______________________) рублей __ копеек.</w:t>
      </w:r>
    </w:p>
    <w:p>
      <w:pPr>
        <w:pStyle w:val="ListParagraph"/>
        <w:numPr>
          <w:ilvl w:val="1"/>
          <w:numId w:val="13"/>
        </w:numPr>
        <w:ind w:left="0" w:firstLine="709"/>
        <w:jc w:val="both"/>
        <w:rPr>
          <w:rFonts w:ascii="Times New Roman" w:hAnsi="Times New Roman"/>
          <w:sz w:val="26"/>
        </w:rPr>
      </w:pPr>
      <w:r>
        <w:rPr>
          <w:rFonts w:ascii="Times New Roman" w:hAnsi="Times New Roman"/>
          <w:sz w:val="26"/>
        </w:rPr>
        <w:t>Покупатель производит оплату в размере стоимости Имущества, за вычетом суммы задатка, указанной в пункте 2.3 Договора, что составляет ___________ (_____________________________) рублей __ копеек. Указанную сумму Покупатель обязуется перечислить на расчетный счет, указанный в разделе 9 Договора не позднее 10 (Десяти) календарных дней с момента подписания Сторонами Договора, до момента направления документов в Федеральную службу государственной регистрации, кадастра и картографии.</w:t>
      </w:r>
    </w:p>
    <w:p>
      <w:pPr>
        <w:pStyle w:val="ListParagraph"/>
        <w:widowControl w:val="false"/>
        <w:numPr>
          <w:ilvl w:val="1"/>
          <w:numId w:val="13"/>
        </w:numPr>
        <w:spacing w:before="0" w:after="0"/>
        <w:ind w:left="0" w:firstLine="709"/>
        <w:contextualSpacing/>
        <w:jc w:val="both"/>
        <w:outlineLvl w:val="2"/>
        <w:rPr>
          <w:rFonts w:ascii="Times New Roman" w:hAnsi="Times New Roman"/>
          <w:sz w:val="26"/>
        </w:rPr>
      </w:pPr>
      <w:r>
        <w:rPr>
          <w:rFonts w:ascii="Times New Roman" w:hAnsi="Times New Roman"/>
          <w:sz w:val="26"/>
        </w:rPr>
        <w:t>Сумма задатка в размере __________ (__________) рублей __ копеек, внесенная Покупателем в соответствии с Соглашением о задатке в счет обеспечения исполнения Договора купли-продажи недвижимого имущества (Приложение № 3 к Договору), является задатком в счет обеспечения исполнения следующих обязательств Покупателя по Договору:</w:t>
      </w:r>
    </w:p>
    <w:p>
      <w:pPr>
        <w:pStyle w:val="ListParagraph"/>
        <w:widowControl w:val="false"/>
        <w:numPr>
          <w:ilvl w:val="0"/>
          <w:numId w:val="0"/>
        </w:numPr>
        <w:tabs>
          <w:tab w:val="clear" w:pos="567"/>
          <w:tab w:val="left" w:pos="1134" w:leader="none"/>
        </w:tabs>
        <w:spacing w:before="0" w:after="0"/>
        <w:ind w:left="0" w:firstLine="1134"/>
        <w:contextualSpacing/>
        <w:outlineLvl w:val="2"/>
        <w:rPr>
          <w:rFonts w:ascii="Times New Roman" w:hAnsi="Times New Roman"/>
          <w:sz w:val="26"/>
        </w:rPr>
      </w:pPr>
      <w:r>
        <w:rPr>
          <w:rFonts w:ascii="Times New Roman" w:hAnsi="Times New Roman"/>
          <w:sz w:val="26"/>
        </w:rPr>
        <w:t>а) произвести оплату в соответствии с пунктом 2.2 Договора;</w:t>
      </w:r>
    </w:p>
    <w:p>
      <w:pPr>
        <w:pStyle w:val="ListParagraph"/>
        <w:widowControl w:val="false"/>
        <w:numPr>
          <w:ilvl w:val="0"/>
          <w:numId w:val="0"/>
        </w:numPr>
        <w:tabs>
          <w:tab w:val="clear" w:pos="567"/>
          <w:tab w:val="left" w:pos="1134" w:leader="none"/>
        </w:tabs>
        <w:spacing w:before="0" w:after="0"/>
        <w:ind w:left="0" w:firstLine="1134"/>
        <w:contextualSpacing/>
        <w:outlineLvl w:val="2"/>
        <w:rPr>
          <w:rFonts w:ascii="Times New Roman" w:hAnsi="Times New Roman"/>
          <w:sz w:val="26"/>
        </w:rPr>
      </w:pPr>
      <w:r>
        <w:rPr>
          <w:rFonts w:ascii="Times New Roman" w:hAnsi="Times New Roman"/>
          <w:sz w:val="26"/>
        </w:rPr>
        <w:t>б) осуществить государственную регистрацию перехода права собственности на Имущество.</w:t>
      </w:r>
    </w:p>
    <w:p>
      <w:pPr>
        <w:pStyle w:val="Normal"/>
        <w:spacing w:before="0" w:after="0"/>
        <w:ind w:firstLine="709"/>
        <w:rPr/>
      </w:pPr>
      <w:r>
        <w:rPr/>
        <w:t>2.4. Платеж считается произведенным с даты поступления денежных средств на расчетный счет Продавца.</w:t>
      </w:r>
    </w:p>
    <w:p>
      <w:pPr>
        <w:pStyle w:val="Normal"/>
        <w:spacing w:before="0" w:after="0"/>
        <w:ind w:firstLine="709"/>
        <w:rPr>
          <w:highlight w:val="yellow"/>
        </w:rPr>
      </w:pPr>
      <w:r>
        <w:rPr>
          <w:highlight w:val="yellow"/>
        </w:rPr>
      </w:r>
    </w:p>
    <w:p>
      <w:pPr>
        <w:pStyle w:val="Normal"/>
        <w:spacing w:before="0" w:after="0"/>
        <w:ind w:firstLine="709"/>
        <w:contextualSpacing/>
        <w:jc w:val="center"/>
        <w:rPr>
          <w:b/>
        </w:rPr>
      </w:pPr>
      <w:r>
        <w:rPr>
          <w:b/>
        </w:rPr>
        <w:t>3. Передача Имущества</w:t>
      </w:r>
    </w:p>
    <w:p>
      <w:pPr>
        <w:pStyle w:val="Normal"/>
        <w:spacing w:before="0" w:after="0"/>
        <w:ind w:firstLine="709"/>
        <w:rPr/>
      </w:pPr>
      <w:r>
        <w:rPr/>
        <w:t>3.1. Передача Имущества в течение 5 (пяти) рабочих дней с даты подписания Договора и оформляется двухсторонним актом приема-передачи по форме Приложения № 2 к Договору (далее – «Акт»), который становится неотъемлемой частью договора после его подписания Сторонами.</w:t>
      </w:r>
    </w:p>
    <w:p>
      <w:pPr>
        <w:pStyle w:val="Normal"/>
        <w:spacing w:before="0" w:after="0"/>
        <w:ind w:firstLine="709"/>
        <w:rPr/>
      </w:pPr>
      <w:r>
        <w:rPr/>
        <w:t>3.2. С даты подписания Акта ответственность за сохранность Имущества, а также риск его случайной гибели или порчи несет Покупатель.</w:t>
      </w:r>
    </w:p>
    <w:p>
      <w:pPr>
        <w:pStyle w:val="Normal"/>
        <w:spacing w:before="0" w:after="0"/>
        <w:ind w:firstLine="709"/>
        <w:rPr/>
      </w:pPr>
      <w:r>
        <w:rPr/>
        <w:t>3.3.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w:t>
      </w:r>
    </w:p>
    <w:p>
      <w:pPr>
        <w:pStyle w:val="Normal"/>
        <w:spacing w:before="0" w:after="0"/>
        <w:ind w:firstLine="709"/>
        <w:rPr/>
      </w:pPr>
      <w:r>
        <w:rPr/>
        <w:t>3.4. Обязательства Покупателя по Договору считаются исполненными с момента уплаты Продавцу стоимости Имущества и его приемки по Акту.</w:t>
      </w:r>
    </w:p>
    <w:p>
      <w:pPr>
        <w:pStyle w:val="Normal"/>
        <w:spacing w:before="0" w:after="0"/>
        <w:ind w:firstLine="709"/>
        <w:rPr/>
      </w:pPr>
      <w:r>
        <w:rPr/>
      </w:r>
    </w:p>
    <w:p>
      <w:pPr>
        <w:pStyle w:val="ListParagraph"/>
        <w:numPr>
          <w:ilvl w:val="0"/>
          <w:numId w:val="15"/>
        </w:numPr>
        <w:spacing w:before="0" w:after="0"/>
        <w:contextualSpacing/>
        <w:jc w:val="center"/>
        <w:rPr>
          <w:rFonts w:ascii="Times New Roman" w:hAnsi="Times New Roman"/>
          <w:b/>
          <w:sz w:val="26"/>
        </w:rPr>
      </w:pPr>
      <w:r>
        <w:rPr>
          <w:rFonts w:ascii="Times New Roman" w:hAnsi="Times New Roman"/>
          <w:b/>
          <w:sz w:val="26"/>
        </w:rPr>
        <w:t>Права и обязанности Сторон</w:t>
      </w:r>
    </w:p>
    <w:p>
      <w:pPr>
        <w:pStyle w:val="Normal"/>
        <w:spacing w:before="0" w:after="0"/>
        <w:ind w:firstLine="709"/>
        <w:rPr/>
      </w:pPr>
      <w:r>
        <w:rPr/>
        <w:t>4.1. Продавец обязан:</w:t>
      </w:r>
    </w:p>
    <w:p>
      <w:pPr>
        <w:pStyle w:val="Normal"/>
        <w:spacing w:before="0" w:after="0"/>
        <w:ind w:firstLine="709"/>
        <w:rPr/>
      </w:pPr>
      <w:r>
        <w:rPr/>
        <w:t>4.1.1. 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pPr>
        <w:pStyle w:val="Normal"/>
        <w:spacing w:before="0" w:after="0"/>
        <w:ind w:firstLine="709"/>
        <w:rPr/>
      </w:pPr>
      <w:r>
        <w:rPr/>
        <w:t>4.1.2. Передать Покупателю в собственность Имущество по Акту.</w:t>
      </w:r>
    </w:p>
    <w:p>
      <w:pPr>
        <w:pStyle w:val="Normal"/>
        <w:spacing w:before="0" w:after="0"/>
        <w:ind w:firstLine="709"/>
        <w:rPr/>
      </w:pPr>
      <w:r>
        <w:rPr>
          <w:lang w:eastAsia="en-US"/>
        </w:rPr>
        <w:t xml:space="preserve">4.1.3. Представить </w:t>
      </w:r>
      <w:r>
        <w:rPr/>
        <w:t>Покупателю</w:t>
      </w:r>
      <w:r>
        <w:rPr>
          <w:lang w:eastAsia="en-US"/>
        </w:rPr>
        <w:t xml:space="preserve"> счет-фактуру, выставленный в сроки и оформленный в порядке, установленном законодательством Российской Федерации. В случае нарушения Продавцом данного требования, он обязан произвести замену счета-фактуры в течение 3 (трех) рабочих дней с даты получения соответствующего письменного требования </w:t>
      </w:r>
      <w:r>
        <w:rPr/>
        <w:t>Покупателя.</w:t>
      </w:r>
    </w:p>
    <w:p>
      <w:pPr>
        <w:pStyle w:val="Normal"/>
        <w:spacing w:before="0" w:after="0"/>
        <w:ind w:firstLine="709"/>
        <w:rPr/>
      </w:pPr>
      <w:r>
        <w:rPr/>
        <w:t>4.2. Покупатель обязан:</w:t>
      </w:r>
    </w:p>
    <w:p>
      <w:pPr>
        <w:pStyle w:val="Normal"/>
        <w:spacing w:before="0" w:after="0"/>
        <w:ind w:firstLine="709"/>
        <w:rPr/>
      </w:pPr>
      <w:r>
        <w:rPr/>
        <w:t>4.2.1. Оплатить стоимость приобретаемого Имущества в полном объеме и в установленный срок.</w:t>
      </w:r>
    </w:p>
    <w:p>
      <w:pPr>
        <w:pStyle w:val="Normal"/>
        <w:spacing w:before="0" w:after="0"/>
        <w:ind w:firstLine="709"/>
        <w:rPr/>
      </w:pPr>
      <w:r>
        <w:rPr/>
        <w:t>4.2.2. Принять Имущество на условиях, предусмотренных Договором.</w:t>
      </w:r>
    </w:p>
    <w:p>
      <w:pPr>
        <w:pStyle w:val="Normal"/>
        <w:spacing w:before="0" w:after="0"/>
        <w:ind w:firstLine="709"/>
        <w:rPr/>
      </w:pPr>
      <w:r>
        <w:rPr/>
        <w:t>4.2.3. Для регистрации перехода права собственности на Имущество произвести необходимые действия.</w:t>
      </w:r>
    </w:p>
    <w:p>
      <w:pPr>
        <w:pStyle w:val="Normal"/>
        <w:spacing w:before="0" w:after="0"/>
        <w:ind w:firstLine="709"/>
        <w:rPr/>
      </w:pPr>
      <w:r>
        <w:rPr/>
      </w:r>
    </w:p>
    <w:p>
      <w:pPr>
        <w:pStyle w:val="ListParagraph"/>
        <w:numPr>
          <w:ilvl w:val="0"/>
          <w:numId w:val="15"/>
        </w:numPr>
        <w:spacing w:before="0" w:after="0"/>
        <w:contextualSpacing/>
        <w:jc w:val="center"/>
        <w:rPr>
          <w:rFonts w:ascii="Times New Roman" w:hAnsi="Times New Roman"/>
          <w:b/>
          <w:sz w:val="26"/>
        </w:rPr>
      </w:pPr>
      <w:r>
        <w:rPr>
          <w:rFonts w:ascii="Times New Roman" w:hAnsi="Times New Roman"/>
          <w:b/>
          <w:sz w:val="26"/>
        </w:rPr>
        <w:t>Ответственность Сторон</w:t>
      </w:r>
    </w:p>
    <w:p>
      <w:pPr>
        <w:pStyle w:val="Normal"/>
        <w:spacing w:before="0" w:after="0"/>
        <w:ind w:firstLine="709"/>
        <w:rPr/>
      </w:pPr>
      <w:r>
        <w:rPr/>
        <w:t>5.1. За нарушение Покупателем сроков оплаты, установленных разделом 2 Договора, Продавец вправе требовать уплаты Покупателем пени в размере 0,1% (ноль целых одна десятая процента) от несвоевременно оплаченной суммы за каждый день просрочки.</w:t>
      </w:r>
    </w:p>
    <w:p>
      <w:pPr>
        <w:pStyle w:val="Normal"/>
        <w:spacing w:before="0" w:after="0"/>
        <w:ind w:firstLine="709"/>
        <w:rPr/>
      </w:pPr>
      <w:r>
        <w:rPr/>
        <w:t>5.2. В случае уклонения Продавца от подписания Акта на передаваемое Имущество, Покупатель вправе требовать уплаты Продавцом пени в размере 0,1% (ноль целых одна десятая процента) от суммы, полученной Продавцом от Покупателя за каждый день просрочки.</w:t>
      </w:r>
    </w:p>
    <w:p>
      <w:pPr>
        <w:pStyle w:val="Normal"/>
        <w:spacing w:before="0" w:after="0"/>
        <w:ind w:firstLine="709"/>
        <w:rPr/>
      </w:pPr>
      <w:r>
        <w:rPr/>
        <w:t>5.3. 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рабочих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pPr>
        <w:pStyle w:val="Normal"/>
        <w:widowControl w:val="false"/>
        <w:spacing w:before="0" w:after="0"/>
        <w:ind w:firstLine="709"/>
        <w:rPr/>
      </w:pPr>
      <w:r>
        <w:rPr/>
        <w:t>5.4.  Все споры, не урегулированные в претензионном (досудебном) порядке, подлежат передаче на рассмотрение Арбитражному суду Московской области.</w:t>
      </w:r>
    </w:p>
    <w:p>
      <w:pPr>
        <w:pStyle w:val="Normal"/>
        <w:widowControl w:val="false"/>
        <w:spacing w:before="0" w:after="0"/>
        <w:ind w:firstLine="709"/>
        <w:rPr/>
      </w:pPr>
      <w:r>
        <w:rPr/>
        <w:t>5.5. 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
    <w:p>
      <w:pPr>
        <w:pStyle w:val="Normal"/>
        <w:widowControl w:val="false"/>
        <w:spacing w:before="0" w:after="0"/>
        <w:ind w:firstLine="709"/>
        <w:rPr/>
      </w:pPr>
      <w:r>
        <w:rPr/>
        <w:t>5.6. 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pPr>
        <w:pStyle w:val="Normal"/>
        <w:widowControl w:val="false"/>
        <w:spacing w:before="0" w:after="0"/>
        <w:ind w:firstLine="709"/>
        <w:rPr/>
      </w:pPr>
      <w:r>
        <w:rPr/>
        <w:t>5.7. При наступлении указанных в п. 5.6 Договора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 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widowControl w:val="false"/>
        <w:spacing w:before="0" w:after="0"/>
        <w:ind w:firstLine="709"/>
        <w:rPr/>
      </w:pPr>
      <w:r>
        <w:rPr/>
        <w:t xml:space="preserve">5.8. При отсутствии своевременного извещения, предусмотренного в п. 5.7 Договора, сторона обязана возместить другой стороне убытки, причиненные не извещением или несвоевременным извещением. </w:t>
      </w:r>
    </w:p>
    <w:p>
      <w:pPr>
        <w:pStyle w:val="Normal"/>
        <w:widowControl w:val="false"/>
        <w:spacing w:before="0" w:after="0"/>
        <w:ind w:firstLine="709"/>
        <w:rPr/>
      </w:pPr>
      <w:r>
        <w:rPr/>
        <w:t>5.9. Если период действия непреодолимой силы превысит 6 (шесть) месяцев, любая из сторон будет иметь право расторгнуть Договор.</w:t>
      </w:r>
    </w:p>
    <w:p>
      <w:pPr>
        <w:pStyle w:val="Normal"/>
        <w:widowControl w:val="false"/>
        <w:spacing w:before="0" w:after="0"/>
        <w:ind w:firstLine="709"/>
        <w:rPr/>
      </w:pPr>
      <w:r>
        <w:rPr/>
      </w:r>
    </w:p>
    <w:p>
      <w:pPr>
        <w:pStyle w:val="Normal"/>
        <w:spacing w:before="0" w:after="0"/>
        <w:ind w:firstLine="709"/>
        <w:jc w:val="center"/>
        <w:rPr>
          <w:b/>
        </w:rPr>
      </w:pPr>
      <w:r>
        <w:rPr>
          <w:b/>
        </w:rPr>
        <w:t>6. Переход права собственности</w:t>
      </w:r>
    </w:p>
    <w:p>
      <w:pPr>
        <w:pStyle w:val="Normal"/>
        <w:spacing w:before="0" w:after="0"/>
        <w:ind w:firstLine="709"/>
        <w:rPr/>
      </w:pPr>
      <w:r>
        <w:rPr/>
        <w:t>6.1. Право собственности на Имущество возникает у Покупателя с момента государственной регистрации перехода права собственности в Управление Федеральной службы государственной регистрации, кадастра и картографии по Московской области.</w:t>
      </w:r>
    </w:p>
    <w:p>
      <w:pPr>
        <w:pStyle w:val="Normal"/>
        <w:spacing w:before="0" w:after="0"/>
        <w:ind w:firstLine="709"/>
        <w:rPr/>
      </w:pPr>
      <w:r>
        <w:rPr/>
      </w:r>
    </w:p>
    <w:p>
      <w:pPr>
        <w:pStyle w:val="ListParagraph"/>
        <w:numPr>
          <w:ilvl w:val="0"/>
          <w:numId w:val="16"/>
        </w:numPr>
        <w:spacing w:before="0" w:after="0"/>
        <w:contextualSpacing/>
        <w:jc w:val="center"/>
        <w:rPr>
          <w:rFonts w:ascii="Times New Roman" w:hAnsi="Times New Roman"/>
          <w:b/>
          <w:sz w:val="26"/>
        </w:rPr>
      </w:pPr>
      <w:r>
        <w:rPr>
          <w:rFonts w:ascii="Times New Roman" w:hAnsi="Times New Roman"/>
          <w:b/>
          <w:sz w:val="26"/>
        </w:rPr>
        <w:t>Срок действия Договора</w:t>
      </w:r>
    </w:p>
    <w:p>
      <w:pPr>
        <w:pStyle w:val="Normal"/>
        <w:spacing w:before="0" w:after="0"/>
        <w:ind w:firstLine="709"/>
        <w:rPr/>
      </w:pPr>
      <w:r>
        <w:rPr/>
        <w:t>7.1. Договор вступает в силу с момента его подписания Сторонами и действует до полного исполнения Сторонами своих обязательств.</w:t>
      </w:r>
    </w:p>
    <w:p>
      <w:pPr>
        <w:pStyle w:val="Normal"/>
        <w:spacing w:before="0" w:after="0"/>
        <w:ind w:firstLine="709"/>
        <w:rPr/>
      </w:pPr>
      <w:r>
        <w:rPr/>
        <w:t>7.2 Прекращение (окончание) срока действия Договора не означает прекращение взятых на себя, но неисполненных обязательств по Договору и не освобождает Стороны от ответственности за его нарушения, если таковые имели место при исполнении условий Договора.</w:t>
      </w:r>
    </w:p>
    <w:p>
      <w:pPr>
        <w:pStyle w:val="Normal"/>
        <w:spacing w:before="0" w:after="0"/>
        <w:ind w:firstLine="709"/>
        <w:rPr/>
      </w:pPr>
      <w:r>
        <w:rPr/>
      </w:r>
    </w:p>
    <w:p>
      <w:pPr>
        <w:pStyle w:val="Normal"/>
        <w:spacing w:before="0" w:after="0"/>
        <w:ind w:firstLine="709"/>
        <w:jc w:val="center"/>
        <w:rPr>
          <w:b/>
        </w:rPr>
      </w:pPr>
      <w:r>
        <w:rPr>
          <w:b/>
        </w:rPr>
        <w:t>8. Прочие условия</w:t>
      </w:r>
    </w:p>
    <w:p>
      <w:pPr>
        <w:pStyle w:val="Normal"/>
        <w:widowControl w:val="false"/>
        <w:spacing w:before="0" w:after="0"/>
        <w:ind w:firstLine="709"/>
        <w:rPr/>
      </w:pPr>
      <w:r>
        <w:rPr/>
        <w:t>8.1. Все изменения, дополнения Договора действительны лишь в том случае, если они оформлены в письменной форме и подписаны Сторонами.</w:t>
      </w:r>
    </w:p>
    <w:p>
      <w:pPr>
        <w:pStyle w:val="Normal"/>
        <w:widowControl w:val="false"/>
        <w:spacing w:before="0" w:after="0"/>
        <w:ind w:firstLine="709"/>
        <w:rPr/>
      </w:pPr>
      <w:r>
        <w:rPr/>
        <w:t>8.2. Стороны обязуются направлять друг другу все уведомления и сообщения по любым вопросам, связанным с исполнением Договора, включая, финансовые и бухгалтерские документы, счета, предложения, претензии, иски и т.п. по адресам Сторон, указанным в разделе 9 Договора.</w:t>
      </w:r>
    </w:p>
    <w:p>
      <w:pPr>
        <w:pStyle w:val="Normal"/>
        <w:widowControl w:val="false"/>
        <w:spacing w:before="0" w:after="0"/>
        <w:ind w:firstLine="709"/>
        <w:rPr/>
      </w:pPr>
      <w:r>
        <w:rPr/>
        <w:t>8.3. 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электронной почты (</w:t>
      </w:r>
      <w:r>
        <w:rPr>
          <w:lang w:val="en-US"/>
        </w:rPr>
        <w:t>e</w:t>
      </w:r>
      <w:r>
        <w:rPr/>
        <w:t>-</w:t>
      </w:r>
      <w:r>
        <w:rPr>
          <w:lang w:val="en-US"/>
        </w:rPr>
        <w:t>mail</w:t>
      </w:r>
      <w:r>
        <w:rPr/>
        <w:t>), факсимильной связи (телефаксом) и телеграммами признаются Сторонами полноценными юридическими документами, имеющими простую письменную форму.</w:t>
      </w:r>
    </w:p>
    <w:p>
      <w:pPr>
        <w:pStyle w:val="Normal"/>
        <w:widowControl w:val="false"/>
        <w:spacing w:before="0" w:after="0"/>
        <w:ind w:firstLine="709"/>
        <w:rPr/>
      </w:pPr>
      <w:r>
        <w:rPr/>
        <w:t>8.4. 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Договора.</w:t>
      </w:r>
    </w:p>
    <w:p>
      <w:pPr>
        <w:pStyle w:val="Normal"/>
        <w:widowControl w:val="false"/>
        <w:spacing w:before="0" w:after="0"/>
        <w:ind w:firstLine="709"/>
        <w:rPr/>
      </w:pPr>
      <w:r>
        <w:rPr/>
        <w:t>8.5. Договор составлен в 3 (трех) подлинных экземплярах, имеющих равную юридическую силу, по одному экземпляру для каждой из Сторон, третий - хранится в делах Управление Федеральной службы государственной регистрации, кадастра и картографии по Московской области.</w:t>
      </w:r>
    </w:p>
    <w:p>
      <w:pPr>
        <w:pStyle w:val="Normal"/>
        <w:widowControl w:val="false"/>
        <w:spacing w:before="0" w:after="0"/>
        <w:ind w:firstLine="709"/>
        <w:rPr/>
      </w:pPr>
      <w:r>
        <w:rPr/>
        <w:t>8.6. Неотъемлемой частью Договора являются:</w:t>
      </w:r>
    </w:p>
    <w:p>
      <w:pPr>
        <w:pStyle w:val="Normal"/>
        <w:widowControl w:val="false"/>
        <w:numPr>
          <w:ilvl w:val="0"/>
          <w:numId w:val="14"/>
        </w:numPr>
        <w:spacing w:before="0" w:after="0"/>
        <w:ind w:left="0" w:firstLine="709"/>
        <w:jc w:val="left"/>
        <w:rPr/>
      </w:pPr>
      <w:r>
        <w:rPr/>
        <w:t>Приложение №1 – «Перечень имущества»;</w:t>
      </w:r>
    </w:p>
    <w:p>
      <w:pPr>
        <w:pStyle w:val="Normal"/>
        <w:widowControl w:val="false"/>
        <w:numPr>
          <w:ilvl w:val="0"/>
          <w:numId w:val="14"/>
        </w:numPr>
        <w:spacing w:before="0" w:after="0"/>
        <w:ind w:left="0" w:firstLine="709"/>
        <w:jc w:val="left"/>
        <w:rPr/>
      </w:pPr>
      <w:r>
        <w:rPr/>
        <w:t>Приложение №2 - «Акт приема-передачи» (форма);</w:t>
      </w:r>
    </w:p>
    <w:p>
      <w:pPr>
        <w:pStyle w:val="Normal"/>
        <w:widowControl w:val="false"/>
        <w:numPr>
          <w:ilvl w:val="0"/>
          <w:numId w:val="14"/>
        </w:numPr>
        <w:spacing w:before="0" w:after="0"/>
        <w:ind w:left="0" w:firstLine="709"/>
        <w:rPr/>
      </w:pPr>
      <w:r>
        <w:rPr/>
        <w:t xml:space="preserve"> </w:t>
      </w:r>
      <w:r>
        <w:rPr/>
        <w:t>Приложение №3 – «Соглашением о задатке в счет обеспечения исполнения Договора купли-продажи недвижимого имущества».</w:t>
      </w:r>
    </w:p>
    <w:p>
      <w:pPr>
        <w:pStyle w:val="Normal"/>
        <w:widowControl w:val="false"/>
        <w:spacing w:before="0" w:after="0"/>
        <w:jc w:val="left"/>
        <w:rPr>
          <w:sz w:val="23"/>
          <w:szCs w:val="23"/>
        </w:rPr>
      </w:pPr>
      <w:r>
        <w:rPr>
          <w:sz w:val="23"/>
          <w:szCs w:val="23"/>
        </w:rPr>
      </w:r>
    </w:p>
    <w:p>
      <w:pPr>
        <w:pStyle w:val="Normal"/>
        <w:widowControl w:val="false"/>
        <w:spacing w:before="0" w:after="0"/>
        <w:jc w:val="left"/>
        <w:rPr>
          <w:sz w:val="23"/>
          <w:szCs w:val="23"/>
        </w:rPr>
      </w:pPr>
      <w:r>
        <w:rPr>
          <w:sz w:val="23"/>
          <w:szCs w:val="23"/>
        </w:rPr>
      </w:r>
    </w:p>
    <w:p>
      <w:pPr>
        <w:pStyle w:val="Normal"/>
        <w:widowControl w:val="false"/>
        <w:spacing w:before="0" w:after="0"/>
        <w:jc w:val="left"/>
        <w:rPr>
          <w:sz w:val="23"/>
          <w:szCs w:val="23"/>
        </w:rPr>
      </w:pPr>
      <w:r>
        <w:rPr>
          <w:sz w:val="23"/>
          <w:szCs w:val="23"/>
        </w:rPr>
      </w:r>
    </w:p>
    <w:p>
      <w:pPr>
        <w:pStyle w:val="Normal"/>
        <w:spacing w:before="0" w:after="0"/>
        <w:ind w:left="567" w:hanging="0"/>
        <w:jc w:val="center"/>
        <w:rPr>
          <w:b/>
        </w:rPr>
      </w:pPr>
      <w:r>
        <w:rPr>
          <w:b/>
          <w:sz w:val="23"/>
          <w:szCs w:val="23"/>
        </w:rPr>
        <w:t xml:space="preserve"> </w:t>
      </w:r>
      <w:r>
        <w:rPr>
          <w:b/>
        </w:rPr>
        <w:t>9. Реквизиты сторон</w:t>
      </w:r>
    </w:p>
    <w:p>
      <w:pPr>
        <w:pStyle w:val="Normal"/>
        <w:spacing w:before="0" w:after="0"/>
        <w:ind w:left="567" w:hanging="0"/>
        <w:jc w:val="center"/>
        <w:rPr>
          <w:b/>
        </w:rPr>
      </w:pPr>
      <w:r>
        <w:rPr>
          <w:b/>
        </w:rPr>
      </w:r>
    </w:p>
    <w:tbl>
      <w:tblPr>
        <w:tblW w:w="10080" w:type="dxa"/>
        <w:jc w:val="left"/>
        <w:tblInd w:w="216" w:type="dxa"/>
        <w:tblLayout w:type="fixed"/>
        <w:tblCellMar>
          <w:top w:w="0" w:type="dxa"/>
          <w:left w:w="108" w:type="dxa"/>
          <w:bottom w:w="0" w:type="dxa"/>
          <w:right w:w="108" w:type="dxa"/>
        </w:tblCellMar>
        <w:tblLook w:val="0000" w:noHBand="0" w:noVBand="0" w:firstColumn="0" w:lastRow="0" w:lastColumn="0" w:firstRow="0"/>
      </w:tblPr>
      <w:tblGrid>
        <w:gridCol w:w="5045"/>
        <w:gridCol w:w="5034"/>
      </w:tblGrid>
      <w:tr>
        <w:trPr>
          <w:trHeight w:val="314" w:hRule="atLeast"/>
        </w:trPr>
        <w:tc>
          <w:tcPr>
            <w:tcW w:w="5045" w:type="dxa"/>
            <w:tcBorders/>
          </w:tcPr>
          <w:p>
            <w:pPr>
              <w:pStyle w:val="Normal"/>
              <w:widowControl w:val="false"/>
              <w:spacing w:before="0" w:after="0"/>
              <w:jc w:val="left"/>
              <w:rPr>
                <w:b/>
              </w:rPr>
            </w:pPr>
            <w:r>
              <w:rPr>
                <w:b/>
              </w:rPr>
              <w:t>«Продавец»</w:t>
            </w:r>
          </w:p>
        </w:tc>
        <w:tc>
          <w:tcPr>
            <w:tcW w:w="5034" w:type="dxa"/>
            <w:tcBorders/>
          </w:tcPr>
          <w:p>
            <w:pPr>
              <w:pStyle w:val="Normal"/>
              <w:widowControl w:val="false"/>
              <w:spacing w:before="0" w:after="0"/>
              <w:jc w:val="left"/>
              <w:rPr>
                <w:b/>
              </w:rPr>
            </w:pPr>
            <w:r>
              <w:rPr>
                <w:b/>
              </w:rPr>
              <w:t>«Покупатель»</w:t>
            </w:r>
          </w:p>
        </w:tc>
      </w:tr>
      <w:tr>
        <w:trPr>
          <w:trHeight w:val="2095" w:hRule="atLeast"/>
        </w:trPr>
        <w:tc>
          <w:tcPr>
            <w:tcW w:w="5045" w:type="dxa"/>
            <w:tcBorders/>
          </w:tcPr>
          <w:p>
            <w:pPr>
              <w:pStyle w:val="Normal"/>
              <w:widowControl w:val="false"/>
              <w:spacing w:before="0" w:after="0"/>
              <w:jc w:val="left"/>
              <w:rPr>
                <w:b/>
              </w:rPr>
            </w:pPr>
            <w:r>
              <w:rPr>
                <w:b/>
              </w:rPr>
              <w:t>АО «Загорская ГАЭС-2»</w:t>
            </w:r>
          </w:p>
          <w:p>
            <w:pPr>
              <w:pStyle w:val="Normal"/>
              <w:widowControl w:val="false"/>
              <w:spacing w:before="0" w:after="0"/>
              <w:jc w:val="left"/>
              <w:rPr>
                <w:b/>
              </w:rPr>
            </w:pPr>
            <w:r>
              <w:rPr>
                <w:b/>
              </w:rPr>
            </w:r>
          </w:p>
          <w:p>
            <w:pPr>
              <w:pStyle w:val="Normal"/>
              <w:widowControl w:val="false"/>
              <w:spacing w:before="0" w:after="0"/>
              <w:jc w:val="left"/>
              <w:rPr/>
            </w:pPr>
            <w:r>
              <w:rPr/>
              <w:t>Адрес (Место нахождения):</w:t>
            </w:r>
          </w:p>
          <w:p>
            <w:pPr>
              <w:pStyle w:val="Normal"/>
              <w:widowControl w:val="false"/>
              <w:spacing w:before="0" w:after="0"/>
              <w:jc w:val="left"/>
              <w:rPr/>
            </w:pPr>
            <w:r>
              <w:rPr/>
              <w:t>Российская Федерация, Московская область, г. Сергиев Посад.</w:t>
            </w:r>
          </w:p>
          <w:p>
            <w:pPr>
              <w:pStyle w:val="Normal"/>
              <w:widowControl w:val="false"/>
              <w:spacing w:before="0" w:after="0"/>
              <w:jc w:val="left"/>
              <w:rPr/>
            </w:pPr>
            <w:r>
              <w:rPr/>
              <w:t>Адрес для направления почтовой корреспонденции: 141342, Российская Федерация, Московская область, г. Сергиев Посад, рабочий поселок Богородское, д. 101.</w:t>
            </w:r>
          </w:p>
          <w:p>
            <w:pPr>
              <w:pStyle w:val="Normal"/>
              <w:widowControl w:val="false"/>
              <w:spacing w:before="0" w:after="0"/>
              <w:jc w:val="left"/>
              <w:rPr/>
            </w:pPr>
            <w:r>
              <w:rPr/>
              <w:t>ИНН 5042086312, КПП 504201001;</w:t>
            </w:r>
          </w:p>
          <w:p>
            <w:pPr>
              <w:pStyle w:val="Normal"/>
              <w:widowControl w:val="false"/>
              <w:spacing w:before="0" w:after="0"/>
              <w:jc w:val="left"/>
              <w:rPr/>
            </w:pPr>
            <w:r>
              <w:rPr/>
              <w:t>ОГРН 1065042071137;</w:t>
            </w:r>
          </w:p>
          <w:p>
            <w:pPr>
              <w:pStyle w:val="Normal"/>
              <w:widowControl w:val="false"/>
              <w:spacing w:before="0" w:after="0"/>
              <w:jc w:val="left"/>
              <w:rPr/>
            </w:pPr>
            <w:r>
              <w:rPr/>
              <w:t>р/с 40702810610130001967;</w:t>
            </w:r>
          </w:p>
          <w:p>
            <w:pPr>
              <w:pStyle w:val="Normal"/>
              <w:widowControl w:val="false"/>
              <w:spacing w:before="0" w:after="0"/>
              <w:jc w:val="left"/>
              <w:rPr/>
            </w:pPr>
            <w:r>
              <w:rPr/>
              <w:t>Филиал «Центральный» Банка ВТБ (ПАО) в г. Москве;</w:t>
            </w:r>
          </w:p>
          <w:p>
            <w:pPr>
              <w:pStyle w:val="Normal"/>
              <w:widowControl w:val="false"/>
              <w:spacing w:before="0" w:after="0"/>
              <w:jc w:val="left"/>
              <w:rPr/>
            </w:pPr>
            <w:r>
              <w:rPr/>
              <w:t>к/с 30101810145250000411;</w:t>
            </w:r>
          </w:p>
          <w:p>
            <w:pPr>
              <w:pStyle w:val="Normal"/>
              <w:widowControl w:val="false"/>
              <w:spacing w:before="0" w:after="0"/>
              <w:jc w:val="left"/>
              <w:rPr/>
            </w:pPr>
            <w:r>
              <w:rPr/>
              <w:t>БИК 044525411;</w:t>
            </w:r>
          </w:p>
          <w:p>
            <w:pPr>
              <w:pStyle w:val="Normal"/>
              <w:widowControl w:val="false"/>
              <w:spacing w:before="0" w:after="0"/>
              <w:jc w:val="left"/>
              <w:rPr/>
            </w:pPr>
            <w:r>
              <w:rPr/>
              <w:t>ОКВЭД 71.12, 35.11.2, 35.11.4, 35.12, 41.2, 41.20, 42.22.3, 42.91.2, 42.99;</w:t>
            </w:r>
          </w:p>
          <w:p>
            <w:pPr>
              <w:pStyle w:val="Normal"/>
              <w:widowControl w:val="false"/>
              <w:spacing w:before="0" w:after="0"/>
              <w:jc w:val="left"/>
              <w:rPr/>
            </w:pPr>
            <w:r>
              <w:rPr/>
              <w:t>ОКПО 93698755;</w:t>
            </w:r>
          </w:p>
          <w:p>
            <w:pPr>
              <w:pStyle w:val="Normal"/>
              <w:widowControl w:val="false"/>
              <w:spacing w:before="0" w:after="0"/>
              <w:jc w:val="left"/>
              <w:rPr/>
            </w:pPr>
            <w:r>
              <w:rPr/>
              <w:t>ОКТМО 46728000;</w:t>
            </w:r>
          </w:p>
          <w:p>
            <w:pPr>
              <w:pStyle w:val="Normal"/>
              <w:widowControl w:val="false"/>
              <w:spacing w:before="0" w:after="0"/>
              <w:jc w:val="left"/>
              <w:rPr/>
            </w:pPr>
            <w:r>
              <w:rPr/>
              <w:t>ОКОГУ 4210014;</w:t>
            </w:r>
          </w:p>
          <w:p>
            <w:pPr>
              <w:pStyle w:val="Normal"/>
              <w:widowControl w:val="false"/>
              <w:spacing w:before="0" w:after="0"/>
              <w:jc w:val="left"/>
              <w:rPr/>
            </w:pPr>
            <w:r>
              <w:rPr/>
              <w:t>ОКОФС 16;</w:t>
            </w:r>
          </w:p>
          <w:p>
            <w:pPr>
              <w:pStyle w:val="Normal"/>
              <w:widowControl w:val="false"/>
              <w:spacing w:before="0" w:after="0"/>
              <w:ind w:right="-108" w:hanging="0"/>
              <w:jc w:val="left"/>
              <w:rPr>
                <w:sz w:val="24"/>
                <w:szCs w:val="24"/>
              </w:rPr>
            </w:pPr>
            <w:r>
              <w:rPr/>
              <w:t>ОКОПФ 12247</w:t>
            </w:r>
          </w:p>
        </w:tc>
        <w:tc>
          <w:tcPr>
            <w:tcW w:w="5034" w:type="dxa"/>
            <w:tcBorders/>
          </w:tcPr>
          <w:p>
            <w:pPr>
              <w:pStyle w:val="Normal"/>
              <w:widowControl w:val="false"/>
              <w:spacing w:before="0" w:after="0"/>
              <w:jc w:val="left"/>
              <w:rPr/>
            </w:pPr>
            <w:r>
              <w:rPr/>
            </w:r>
          </w:p>
          <w:p>
            <w:pPr>
              <w:pStyle w:val="Normal"/>
              <w:widowControl w:val="false"/>
              <w:spacing w:before="0" w:after="0"/>
              <w:jc w:val="left"/>
              <w:rPr/>
            </w:pPr>
            <w:r>
              <w:rPr/>
            </w:r>
          </w:p>
          <w:p>
            <w:pPr>
              <w:pStyle w:val="Normal"/>
              <w:widowControl w:val="false"/>
              <w:spacing w:before="0" w:after="0"/>
              <w:jc w:val="left"/>
              <w:rPr/>
            </w:pPr>
            <w:r>
              <w:rPr/>
              <w:t>Юридический адрес:</w:t>
            </w:r>
          </w:p>
          <w:p>
            <w:pPr>
              <w:pStyle w:val="Normal"/>
              <w:widowControl w:val="false"/>
              <w:spacing w:before="0" w:after="0"/>
              <w:jc w:val="left"/>
              <w:rPr/>
            </w:pPr>
            <w:r>
              <w:rPr/>
              <w:t>Почтовый адрес:</w:t>
            </w:r>
          </w:p>
          <w:p>
            <w:pPr>
              <w:pStyle w:val="Normal"/>
              <w:widowControl w:val="false"/>
              <w:spacing w:before="0" w:after="0"/>
              <w:jc w:val="left"/>
              <w:rPr/>
            </w:pPr>
            <w:r>
              <w:rPr/>
              <w:t>Тел.</w:t>
            </w:r>
          </w:p>
          <w:p>
            <w:pPr>
              <w:pStyle w:val="Normal"/>
              <w:widowControl w:val="false"/>
              <w:spacing w:before="0" w:after="0"/>
              <w:jc w:val="left"/>
              <w:rPr/>
            </w:pPr>
            <w:r>
              <w:rPr/>
              <w:t>Эл. почта:</w:t>
            </w:r>
          </w:p>
          <w:p>
            <w:pPr>
              <w:pStyle w:val="Normal"/>
              <w:widowControl w:val="false"/>
              <w:spacing w:before="0" w:after="0"/>
              <w:jc w:val="left"/>
              <w:rPr/>
            </w:pPr>
            <w:r>
              <w:rPr/>
              <w:t>Банковские реквизиты:</w:t>
            </w:r>
          </w:p>
          <w:p>
            <w:pPr>
              <w:pStyle w:val="Normal"/>
              <w:widowControl w:val="false"/>
              <w:spacing w:before="0" w:after="0"/>
              <w:jc w:val="left"/>
              <w:rPr>
                <w:sz w:val="23"/>
                <w:szCs w:val="23"/>
              </w:rPr>
            </w:pPr>
            <w:r>
              <w:rPr>
                <w:sz w:val="23"/>
                <w:szCs w:val="23"/>
              </w:rPr>
            </w:r>
          </w:p>
          <w:p>
            <w:pPr>
              <w:pStyle w:val="Normal"/>
              <w:widowControl w:val="false"/>
              <w:spacing w:before="0" w:after="0"/>
              <w:jc w:val="left"/>
              <w:rPr>
                <w:sz w:val="22"/>
                <w:szCs w:val="22"/>
              </w:rPr>
            </w:pPr>
            <w:r>
              <w:rPr>
                <w:sz w:val="22"/>
                <w:szCs w:val="22"/>
              </w:rPr>
            </w:r>
          </w:p>
        </w:tc>
      </w:tr>
      <w:tr>
        <w:trPr/>
        <w:tc>
          <w:tcPr>
            <w:tcW w:w="5045" w:type="dxa"/>
            <w:tcBorders/>
          </w:tcPr>
          <w:p>
            <w:pPr>
              <w:pStyle w:val="Normal"/>
              <w:widowControl w:val="false"/>
              <w:spacing w:lineRule="atLeast" w:line="240" w:before="0" w:after="0"/>
              <w:jc w:val="left"/>
              <w:rPr>
                <w:b/>
                <w:sz w:val="23"/>
                <w:szCs w:val="23"/>
              </w:rPr>
            </w:pPr>
            <w:r>
              <w:rPr>
                <w:b/>
                <w:sz w:val="23"/>
                <w:szCs w:val="23"/>
              </w:rPr>
            </w:r>
          </w:p>
        </w:tc>
        <w:tc>
          <w:tcPr>
            <w:tcW w:w="5034" w:type="dxa"/>
            <w:tcBorders/>
          </w:tcPr>
          <w:p>
            <w:pPr>
              <w:pStyle w:val="Normal"/>
              <w:widowControl w:val="false"/>
              <w:spacing w:before="0" w:after="0"/>
              <w:jc w:val="left"/>
              <w:rPr>
                <w:b/>
                <w:sz w:val="23"/>
                <w:szCs w:val="23"/>
              </w:rPr>
            </w:pPr>
            <w:r>
              <w:rPr>
                <w:b/>
                <w:sz w:val="23"/>
                <w:szCs w:val="23"/>
              </w:rPr>
            </w:r>
          </w:p>
        </w:tc>
      </w:tr>
      <w:tr>
        <w:trPr>
          <w:trHeight w:val="1273" w:hRule="atLeast"/>
        </w:trPr>
        <w:tc>
          <w:tcPr>
            <w:tcW w:w="5045" w:type="dxa"/>
            <w:tcBorders/>
          </w:tcPr>
          <w:p>
            <w:pPr>
              <w:pStyle w:val="Normal"/>
              <w:widowControl w:val="false"/>
              <w:spacing w:lineRule="atLeast" w:line="240" w:before="0" w:after="0"/>
              <w:jc w:val="left"/>
              <w:rPr>
                <w:b/>
                <w:sz w:val="23"/>
                <w:szCs w:val="23"/>
              </w:rPr>
            </w:pPr>
            <w:r>
              <w:rPr>
                <w:b/>
                <w:sz w:val="23"/>
                <w:szCs w:val="23"/>
              </w:rPr>
            </w:r>
          </w:p>
          <w:p>
            <w:pPr>
              <w:pStyle w:val="Normal"/>
              <w:widowControl w:val="false"/>
              <w:spacing w:lineRule="atLeast" w:line="240" w:before="0" w:after="0"/>
              <w:jc w:val="left"/>
              <w:rPr>
                <w:b/>
                <w:sz w:val="23"/>
                <w:szCs w:val="23"/>
              </w:rPr>
            </w:pPr>
            <w:r>
              <w:rPr>
                <w:b/>
                <w:sz w:val="23"/>
                <w:szCs w:val="23"/>
              </w:rPr>
              <w:t>_____________________</w:t>
            </w:r>
          </w:p>
          <w:p>
            <w:pPr>
              <w:pStyle w:val="Normal"/>
              <w:widowControl w:val="false"/>
              <w:spacing w:lineRule="atLeast" w:line="240" w:before="0" w:after="0"/>
              <w:jc w:val="left"/>
              <w:rPr>
                <w:b/>
                <w:sz w:val="23"/>
                <w:szCs w:val="23"/>
              </w:rPr>
            </w:pPr>
            <w:r>
              <w:rPr>
                <w:b/>
                <w:sz w:val="23"/>
                <w:szCs w:val="23"/>
              </w:rPr>
            </w:r>
          </w:p>
          <w:p>
            <w:pPr>
              <w:pStyle w:val="Normal"/>
              <w:widowControl w:val="false"/>
              <w:spacing w:lineRule="atLeast" w:line="240" w:before="0" w:after="0"/>
              <w:jc w:val="left"/>
              <w:rPr>
                <w:sz w:val="23"/>
                <w:szCs w:val="23"/>
              </w:rPr>
            </w:pPr>
            <w:r>
              <w:rPr>
                <w:sz w:val="23"/>
                <w:szCs w:val="23"/>
              </w:rPr>
              <w:t>«_____» _______________20______г.</w:t>
            </w:r>
          </w:p>
        </w:tc>
        <w:tc>
          <w:tcPr>
            <w:tcW w:w="5034" w:type="dxa"/>
            <w:tcBorders/>
          </w:tcPr>
          <w:p>
            <w:pPr>
              <w:pStyle w:val="Normal"/>
              <w:widowControl w:val="false"/>
              <w:spacing w:before="0" w:after="0"/>
              <w:jc w:val="left"/>
              <w:rPr>
                <w:b/>
                <w:sz w:val="23"/>
                <w:szCs w:val="23"/>
              </w:rPr>
            </w:pPr>
            <w:r>
              <w:rPr>
                <w:b/>
                <w:sz w:val="23"/>
                <w:szCs w:val="23"/>
              </w:rPr>
            </w:r>
          </w:p>
          <w:p>
            <w:pPr>
              <w:pStyle w:val="Normal"/>
              <w:widowControl w:val="false"/>
              <w:spacing w:before="0" w:after="0"/>
              <w:jc w:val="left"/>
              <w:rPr>
                <w:b/>
                <w:sz w:val="23"/>
                <w:szCs w:val="23"/>
              </w:rPr>
            </w:pPr>
            <w:r>
              <w:rPr>
                <w:b/>
                <w:sz w:val="23"/>
                <w:szCs w:val="23"/>
              </w:rPr>
              <w:t>_______________________</w:t>
            </w:r>
          </w:p>
          <w:p>
            <w:pPr>
              <w:pStyle w:val="Normal"/>
              <w:widowControl w:val="false"/>
              <w:spacing w:before="0" w:after="0"/>
              <w:jc w:val="left"/>
              <w:rPr>
                <w:b/>
                <w:sz w:val="23"/>
                <w:szCs w:val="23"/>
              </w:rPr>
            </w:pPr>
            <w:r>
              <w:rPr>
                <w:b/>
                <w:sz w:val="23"/>
                <w:szCs w:val="23"/>
              </w:rPr>
            </w:r>
          </w:p>
          <w:p>
            <w:pPr>
              <w:pStyle w:val="Normal"/>
              <w:widowControl w:val="false"/>
              <w:spacing w:before="0" w:after="0"/>
              <w:jc w:val="left"/>
              <w:rPr>
                <w:sz w:val="23"/>
                <w:szCs w:val="23"/>
              </w:rPr>
            </w:pPr>
            <w:r>
              <w:rPr>
                <w:sz w:val="23"/>
                <w:szCs w:val="23"/>
              </w:rPr>
              <w:t>«_____» _______________20____г.</w:t>
            </w:r>
          </w:p>
        </w:tc>
      </w:tr>
    </w:tbl>
    <w:p>
      <w:pPr>
        <w:sectPr>
          <w:footerReference w:type="even" r:id="rId12"/>
          <w:footerReference w:type="default" r:id="rId13"/>
          <w:footerReference w:type="first" r:id="rId14"/>
          <w:type w:val="nextPage"/>
          <w:pgSz w:w="11906" w:h="16838"/>
          <w:pgMar w:left="1134" w:right="567" w:gutter="0" w:header="0" w:top="1134" w:footer="0" w:bottom="1418"/>
          <w:pgNumType w:fmt="decimal"/>
          <w:formProt w:val="false"/>
          <w:titlePg/>
          <w:textDirection w:val="lrTb"/>
          <w:docGrid w:type="default" w:linePitch="360" w:charSpace="0"/>
        </w:sectPr>
      </w:pPr>
    </w:p>
    <w:p>
      <w:pPr>
        <w:pStyle w:val="Normal"/>
        <w:spacing w:before="0" w:after="0"/>
        <w:jc w:val="right"/>
        <w:rPr/>
      </w:pPr>
      <w:r>
        <w:rPr/>
        <w:t xml:space="preserve">Приложение № 1 </w:t>
      </w:r>
    </w:p>
    <w:p>
      <w:pPr>
        <w:pStyle w:val="Normal"/>
        <w:spacing w:before="0" w:after="0"/>
        <w:jc w:val="right"/>
        <w:rPr/>
      </w:pPr>
      <w:r>
        <w:rPr/>
        <w:t>к договору купли-продажи имущества</w:t>
      </w:r>
    </w:p>
    <w:p>
      <w:pPr>
        <w:pStyle w:val="Normal"/>
        <w:tabs>
          <w:tab w:val="clear" w:pos="567"/>
          <w:tab w:val="right" w:pos="9360" w:leader="none"/>
        </w:tabs>
        <w:spacing w:before="0" w:after="0"/>
        <w:jc w:val="right"/>
        <w:rPr/>
      </w:pPr>
      <w:r>
        <w:rPr/>
        <w:t>от «__» ________ 20__ г. №___________</w:t>
      </w:r>
    </w:p>
    <w:p>
      <w:pPr>
        <w:pStyle w:val="Normal"/>
        <w:spacing w:before="0" w:after="0"/>
        <w:rPr>
          <w:sz w:val="24"/>
          <w:szCs w:val="28"/>
        </w:rPr>
      </w:pPr>
      <w:r>
        <w:rPr>
          <w:sz w:val="24"/>
          <w:szCs w:val="28"/>
        </w:rPr>
      </w:r>
    </w:p>
    <w:tbl>
      <w:tblPr>
        <w:tblW w:w="14283" w:type="dxa"/>
        <w:jc w:val="left"/>
        <w:tblInd w:w="55" w:type="dxa"/>
        <w:tblLayout w:type="fixed"/>
        <w:tblCellMar>
          <w:top w:w="55" w:type="dxa"/>
          <w:left w:w="55" w:type="dxa"/>
          <w:bottom w:w="55" w:type="dxa"/>
          <w:right w:w="55" w:type="dxa"/>
        </w:tblCellMar>
        <w:tblLook w:val="04a0" w:noHBand="0" w:noVBand="1" w:firstColumn="1" w:lastRow="0" w:lastColumn="0" w:firstRow="1"/>
      </w:tblPr>
      <w:tblGrid>
        <w:gridCol w:w="1135"/>
        <w:gridCol w:w="3625"/>
        <w:gridCol w:w="2608"/>
        <w:gridCol w:w="2155"/>
        <w:gridCol w:w="2380"/>
        <w:gridCol w:w="2379"/>
      </w:tblGrid>
      <w:tr>
        <w:trPr/>
        <w:tc>
          <w:tcPr>
            <w:tcW w:w="1135"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sz w:val="20"/>
                <w:szCs w:val="20"/>
              </w:rPr>
              <w:t>№</w:t>
            </w:r>
          </w:p>
        </w:tc>
        <w:tc>
          <w:tcPr>
            <w:tcW w:w="3625"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Наименование объекта имущества (сведения ЕГРН)</w:t>
            </w:r>
          </w:p>
        </w:tc>
        <w:tc>
          <w:tcPr>
            <w:tcW w:w="2608"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Наименование объекта имущества (сведения бухгалтерского учета)</w:t>
            </w:r>
          </w:p>
        </w:tc>
        <w:tc>
          <w:tcPr>
            <w:tcW w:w="2155"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Кадастровый номер</w:t>
            </w:r>
          </w:p>
        </w:tc>
        <w:tc>
          <w:tcPr>
            <w:tcW w:w="2380"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Инвентарный номер</w:t>
            </w:r>
          </w:p>
        </w:tc>
        <w:tc>
          <w:tcPr>
            <w:tcW w:w="23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b/>
                <w:sz w:val="20"/>
                <w:szCs w:val="20"/>
              </w:rPr>
              <w:t>Стоимость имущества, руб. без учета НДС</w:t>
            </w:r>
          </w:p>
        </w:tc>
      </w:tr>
      <w:tr>
        <w:trPr/>
        <w:tc>
          <w:tcPr>
            <w:tcW w:w="113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3625" w:type="dxa"/>
            <w:tcBorders>
              <w:left w:val="single" w:sz="4" w:space="0" w:color="000000"/>
              <w:bottom w:val="single" w:sz="4" w:space="0" w:color="000000"/>
            </w:tcBorders>
          </w:tcPr>
          <w:p>
            <w:pPr>
              <w:pStyle w:val="Normal"/>
              <w:widowControl w:val="false"/>
              <w:spacing w:before="120" w:after="0"/>
              <w:jc w:val="left"/>
              <w:rPr>
                <w:b/>
                <w:bCs/>
                <w:sz w:val="20"/>
                <w:szCs w:val="20"/>
              </w:rPr>
            </w:pPr>
            <w:r>
              <w:rPr>
                <w:b/>
                <w:bCs/>
                <w:sz w:val="20"/>
                <w:szCs w:val="20"/>
              </w:rPr>
              <w:t>НЕДВИЖИМОЕ ИМУЩЕСТВО:</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15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38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left"/>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Газопровод высокого давления для котельной Стройбазы № 1</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Газопровод высокого давления для котельной Стройбазы № 1</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50:05:0100136:372</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200061</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Блочно-модульное здание котельной. Тепловой пункт</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Блочно-модульное здание котельной. Тепловой пункт</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50:05:0100136:1314</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100029</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3</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резервно-топливное хозяйство</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резервно- топливное хозяйство</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50:05:0020101:247</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200065</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4</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дымовая труба, дымоходы</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дымовая труба, дымоходы</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50:05:0100134:3787</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200071</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изготовления сборного железобетона с подкрановыми путями)</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изготовления сборного железобетона с подкрановыми путями)</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50:05:0100137:510</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70105</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6</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склад цемента (силосные банки): 4 силосные банки емкостью по 1000 т и 6 силосных банок емкостью по 250 т</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склад цемента (силосные банки): 4 силосные банки емкостью по 1000 т и 6 силосных банок емкостью по 250 т</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50:05:0100137:514</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70109</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бетонного хозяйства)</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бетонного хозяйства)</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50:05:0100145:374</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70110</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8</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компрессорная</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компрессорная</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50:05:0100137:182</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70112</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9</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склад инертных материалов</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склад инертных материалов</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50:05:0100137:180</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70111</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10</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бетонного хозяйства: галерея</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бетонного хозяйства: галерея</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50:05:0100134:686</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70264</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11</w:t>
            </w:r>
          </w:p>
        </w:tc>
        <w:tc>
          <w:tcPr>
            <w:tcW w:w="3625"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здание стройлаборатории</w:t>
            </w:r>
          </w:p>
        </w:tc>
        <w:tc>
          <w:tcPr>
            <w:tcW w:w="2608"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здание стройлаборатории</w:t>
            </w:r>
          </w:p>
        </w:tc>
        <w:tc>
          <w:tcPr>
            <w:tcW w:w="2155"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50:05:0100137:167</w:t>
            </w:r>
          </w:p>
        </w:tc>
        <w:tc>
          <w:tcPr>
            <w:tcW w:w="238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70265</w:t>
            </w:r>
          </w:p>
        </w:tc>
        <w:tc>
          <w:tcPr>
            <w:tcW w:w="2379"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3625" w:type="dxa"/>
            <w:tcBorders>
              <w:left w:val="single" w:sz="4" w:space="0" w:color="000000"/>
              <w:bottom w:val="single" w:sz="4" w:space="0" w:color="000000"/>
            </w:tcBorders>
          </w:tcPr>
          <w:p>
            <w:pPr>
              <w:pStyle w:val="Normal"/>
              <w:widowControl w:val="false"/>
              <w:spacing w:before="120" w:after="0"/>
              <w:jc w:val="left"/>
              <w:rPr>
                <w:b/>
                <w:bCs/>
                <w:color w:val="000000"/>
                <w:sz w:val="20"/>
                <w:szCs w:val="20"/>
              </w:rPr>
            </w:pPr>
            <w:r>
              <w:rPr>
                <w:b/>
                <w:bCs/>
                <w:color w:val="000000"/>
                <w:sz w:val="20"/>
                <w:szCs w:val="20"/>
              </w:rPr>
              <w:t>ДВИЖИМОЕ ИМУЩЕСТВО:</w:t>
            </w:r>
          </w:p>
        </w:tc>
        <w:tc>
          <w:tcPr>
            <w:tcW w:w="2608"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2155"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rPr>
                <w:sz w:val="20"/>
                <w:szCs w:val="20"/>
              </w:rPr>
            </w:pPr>
            <w:r>
              <w:rPr>
                <w:sz w:val="20"/>
                <w:szCs w:val="20"/>
              </w:rPr>
            </w:r>
          </w:p>
        </w:tc>
      </w:tr>
      <w:tr>
        <w:trPr>
          <w:trHeight w:val="378" w:hRule="atLeast"/>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Автомобильные весы</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rHeight w:val="570" w:hRule="atLeast"/>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Административно бытовой комплекс</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100021</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Конденсатонасосная.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Лабораторно-административное здание. Бетонное хозяйство.</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Наружное освещение территории бетонного хозяйства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Промежуточный склад заполнителей</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Узел перегрузки.</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100006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Рециклинговая установка.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100032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Эстакада технологических трубопроводов. Бетонное хозяйство</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Ограждение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Хозяйственно-бытовая канализация.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Хозяйственно-питьевой водопровод.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20010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Очистные сооружения и ливневая канализация Стройбазы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Сети теплоснабжения и горячего водоснабжения.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Технический водопровод от К1 сущ. до бетонных заводов №№ 1.2.3.(2 этап)</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Наружные сети водопровода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Наружные сети канализации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Наружное освещение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Электроснабжение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Подъездная автодорога к складу заполнителей</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Проезды и площадки территории бетонного хозяйства.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200048</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Подъездная и внутриплощадочная автодорога, площадка котельной.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РММ и СБК.</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Временные бункера приема инертных материалов</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Оборудование котельной на природном газе.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40089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26</w:t>
            </w:r>
          </w:p>
        </w:tc>
        <w:tc>
          <w:tcPr>
            <w:tcW w:w="6233"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Бетонный завод №1. Бетонное хозяйство</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Подъездная автодорога к бетонному заводу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Бетонный завод № 2HZS-150.Бетонное хозяйство.</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Бетонный завод № 3</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100007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6233" w:type="dxa"/>
            <w:gridSpan w:val="2"/>
            <w:tcBorders>
              <w:left w:val="single" w:sz="4" w:space="0" w:color="000000"/>
              <w:bottom w:val="single" w:sz="4" w:space="0" w:color="000000"/>
            </w:tcBorders>
          </w:tcPr>
          <w:p>
            <w:pPr>
              <w:pStyle w:val="Normal"/>
              <w:widowControl w:val="false"/>
              <w:spacing w:before="120" w:after="0"/>
              <w:jc w:val="left"/>
              <w:rPr>
                <w:b/>
                <w:bCs/>
                <w:sz w:val="20"/>
                <w:szCs w:val="20"/>
              </w:rPr>
            </w:pPr>
            <w:r>
              <w:rPr>
                <w:b/>
                <w:bCs/>
                <w:sz w:val="20"/>
                <w:szCs w:val="20"/>
              </w:rPr>
              <w:t>ПРОЧИЕ МАШИНЫ И ОБОРУДОВАНИЕ:</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Склад заполнителей с узлом перегрузки. Конвейера №№ 1,2,3,4,5,6,7</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40001</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Аппаратура электрическая низковольтная до 1000В узла перегрузки.</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Грузоподъемное оборудование узла перегрузки</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Кран однобалочный подвесной электрический г/п 2тн узла перегрузки</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Аппаратура электрическая низковольтная до 1000В ленточных конвейеров 1-7</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Система контроля и управления ТП конвейеров ленточных №№ 1-7</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Машина разрывная испытательная РМ-50.Лабораторно-административное здание</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Машина разрывная испытательная РМ-100.Лабораторно-административное здание</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Технологическое оборудование бетоносмесительного узла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Насос хим. добавок.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400138</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Оборудование конденсатонасосной.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40090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Автомобильные весы.АРМ</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702342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Станок камнерезный TS-123.Лабораторно-административное здание</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пожарной сигнализации АБК Стройбаза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400111</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пожарной сигнализации лабораторно-административного здания</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2/1.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№1/2.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1/1.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воды № 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воды № 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инертных материалов № 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400118</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инертных материалов № 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400121</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3.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4. Оборудование бетоносмесительного узла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 xml:space="preserve">№ </w:t>
            </w:r>
            <w:r>
              <w:rPr>
                <w:sz w:val="20"/>
                <w:szCs w:val="20"/>
              </w:rPr>
              <w:t>1. Дозатор цемента № 1/1.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1/2.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2/1.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2/2. 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БСУ № 1. Оборудование бетоносмесительного узла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700344</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Силосы.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Система контроля и управления ТП HLS-200</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40008</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rHeight w:val="516" w:hRule="atLeast"/>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34</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2/2.Оборудование бетоносмесительного узла № 1</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35</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2.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36</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3.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400131</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37</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4.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400132</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38</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Воздушнотепловая завеса.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400133</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39</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БСУ № 2. Оборудование бетоносмесительного узла</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700345</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Технологическое оборудование.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400128</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41</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1. Бетонный завод № 2</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400129</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42</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Бетонный завод</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700346</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43</w:t>
            </w:r>
          </w:p>
        </w:tc>
        <w:tc>
          <w:tcPr>
            <w:tcW w:w="6233"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Бетонный завод HLS-200 № 3.Оборудование технологическое бетоносмесительных установок</w:t>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40007</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6233"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ИТОГО без учета НДС</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6233"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НДС 20%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113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6233"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155"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238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ИТОГО с учетом с НДС 20%</w:t>
            </w:r>
          </w:p>
        </w:tc>
        <w:tc>
          <w:tcPr>
            <w:tcW w:w="2379"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bl>
    <w:p>
      <w:pPr>
        <w:sectPr>
          <w:footerReference w:type="even" r:id="rId15"/>
          <w:footerReference w:type="default" r:id="rId16"/>
          <w:footerReference w:type="first" r:id="rId17"/>
          <w:type w:val="nextPage"/>
          <w:pgSz w:orient="landscape" w:w="16838" w:h="11906"/>
          <w:pgMar w:left="1418" w:right="1134" w:gutter="0" w:header="0" w:top="1134" w:footer="0" w:bottom="794"/>
          <w:pgNumType w:fmt="decimal"/>
          <w:formProt w:val="false"/>
          <w:titlePg/>
          <w:textDirection w:val="lrTb"/>
          <w:docGrid w:type="default" w:linePitch="360" w:charSpace="0"/>
        </w:sectPr>
      </w:pPr>
    </w:p>
    <w:p>
      <w:pPr>
        <w:pStyle w:val="Normal"/>
        <w:tabs>
          <w:tab w:val="clear" w:pos="567"/>
          <w:tab w:val="right" w:pos="9360" w:leader="none"/>
        </w:tabs>
        <w:spacing w:before="0" w:after="0"/>
        <w:jc w:val="right"/>
        <w:rPr/>
      </w:pPr>
      <w:r>
        <w:rPr/>
        <w:t>Приложение № 2</w:t>
      </w:r>
    </w:p>
    <w:p>
      <w:pPr>
        <w:pStyle w:val="Normal"/>
        <w:tabs>
          <w:tab w:val="clear" w:pos="567"/>
          <w:tab w:val="right" w:pos="9360" w:leader="none"/>
        </w:tabs>
        <w:spacing w:before="0" w:after="0"/>
        <w:jc w:val="right"/>
        <w:rPr/>
      </w:pPr>
      <w:r>
        <w:rPr/>
        <w:t>к Договору купли-продажи имущества</w:t>
      </w:r>
    </w:p>
    <w:p>
      <w:pPr>
        <w:pStyle w:val="Normal"/>
        <w:tabs>
          <w:tab w:val="clear" w:pos="567"/>
          <w:tab w:val="right" w:pos="9360" w:leader="none"/>
        </w:tabs>
        <w:spacing w:before="0" w:after="0"/>
        <w:jc w:val="right"/>
        <w:rPr/>
      </w:pPr>
      <w:r>
        <w:rPr/>
        <w:t>от «__» ________ 20__ г. №___________</w:t>
      </w:r>
    </w:p>
    <w:p>
      <w:pPr>
        <w:pStyle w:val="Normal"/>
        <w:tabs>
          <w:tab w:val="clear" w:pos="567"/>
          <w:tab w:val="right" w:pos="9360" w:leader="none"/>
        </w:tabs>
        <w:spacing w:before="0" w:after="0"/>
        <w:jc w:val="center"/>
        <w:rPr/>
      </w:pPr>
      <w:r>
        <w:rPr/>
      </w:r>
    </w:p>
    <w:p>
      <w:pPr>
        <w:pStyle w:val="Normal"/>
        <w:tabs>
          <w:tab w:val="clear" w:pos="567"/>
          <w:tab w:val="right" w:pos="9360" w:leader="none"/>
        </w:tabs>
        <w:spacing w:before="0" w:after="0"/>
        <w:jc w:val="center"/>
        <w:rPr/>
      </w:pPr>
      <w:r>
        <w:rPr/>
        <w:t>(форма)</w:t>
      </w:r>
    </w:p>
    <w:p>
      <w:pPr>
        <w:pStyle w:val="Normal"/>
        <w:tabs>
          <w:tab w:val="clear" w:pos="567"/>
          <w:tab w:val="right" w:pos="9360" w:leader="none"/>
        </w:tabs>
        <w:spacing w:before="0" w:after="0"/>
        <w:jc w:val="center"/>
        <w:rPr/>
      </w:pPr>
      <w:r>
        <w:rPr>
          <w:b/>
        </w:rPr>
        <w:t>Акт приема-передачи Имущества</w:t>
      </w:r>
    </w:p>
    <w:p>
      <w:pPr>
        <w:pStyle w:val="Normal"/>
        <w:tabs>
          <w:tab w:val="clear" w:pos="567"/>
          <w:tab w:val="left" w:pos="7720" w:leader="none"/>
          <w:tab w:val="right" w:pos="9360" w:leader="none"/>
        </w:tabs>
        <w:spacing w:before="0" w:after="0"/>
        <w:rPr/>
      </w:pPr>
      <w:r>
        <w:rPr/>
        <w:t>р.п. Богородское                                                                                  «__» ____________ 20__ г.</w:t>
      </w:r>
    </w:p>
    <w:p>
      <w:pPr>
        <w:pStyle w:val="Normal"/>
        <w:tabs>
          <w:tab w:val="clear" w:pos="567"/>
          <w:tab w:val="left" w:pos="7720" w:leader="none"/>
          <w:tab w:val="right" w:pos="9360" w:leader="none"/>
        </w:tabs>
        <w:spacing w:before="0" w:after="0"/>
        <w:rPr>
          <w:sz w:val="24"/>
          <w:szCs w:val="24"/>
        </w:rPr>
      </w:pPr>
      <w:r>
        <w:rPr>
          <w:sz w:val="24"/>
          <w:szCs w:val="24"/>
        </w:rPr>
      </w:r>
    </w:p>
    <w:p>
      <w:pPr>
        <w:pStyle w:val="Normal"/>
        <w:tabs>
          <w:tab w:val="clear" w:pos="567"/>
          <w:tab w:val="left" w:pos="0" w:leader="none"/>
        </w:tabs>
        <w:spacing w:before="0" w:after="0"/>
        <w:ind w:firstLine="709"/>
        <w:rPr/>
      </w:pPr>
      <w:r>
        <w:rPr>
          <w:b/>
        </w:rPr>
        <w:t>Акционерное общество «Загорская ГАЭС-2» (АО «Загорская ГАЭС-2»)</w:t>
      </w:r>
      <w:r>
        <w:rPr/>
        <w:t xml:space="preserve">, в лице _____________________________________________________, действующего на основании ___________________________, именуемое в дальнейшем «Продавец» с одной стороны, и </w:t>
      </w:r>
    </w:p>
    <w:p>
      <w:pPr>
        <w:pStyle w:val="Normal"/>
        <w:spacing w:before="0" w:after="0"/>
        <w:ind w:firstLine="709"/>
        <w:rPr/>
      </w:pPr>
      <w:r>
        <w:rPr/>
        <w:t>__________________________________________________________________, в лице _____________________________________________________, действующего на основании _________________________, именуемый в дальнейшем «Покупатель», с другой стороны, а вместе именуемые «Стороны», составили настоящий акт приема-передачи (далее – «Акт») о нижеследующем:</w:t>
      </w:r>
    </w:p>
    <w:p>
      <w:pPr>
        <w:pStyle w:val="Normal"/>
        <w:spacing w:before="0" w:after="0"/>
        <w:ind w:firstLine="709"/>
        <w:rPr/>
      </w:pPr>
      <w:r>
        <w:rPr/>
      </w:r>
    </w:p>
    <w:p>
      <w:pPr>
        <w:pStyle w:val="Normal"/>
        <w:numPr>
          <w:ilvl w:val="0"/>
          <w:numId w:val="17"/>
        </w:numPr>
        <w:tabs>
          <w:tab w:val="clear" w:pos="567"/>
          <w:tab w:val="left" w:pos="951" w:leader="none"/>
        </w:tabs>
        <w:spacing w:before="0" w:after="0"/>
        <w:ind w:left="0" w:firstLine="709"/>
        <w:rPr/>
      </w:pPr>
      <w:r>
        <w:rPr/>
        <w:t>Продавец в соответствии с Договором купли-продажи имущества от «__» ________ 20__ г. № ____________ передал, а Покупатель принял следующее имущество:</w:t>
      </w:r>
    </w:p>
    <w:p>
      <w:pPr>
        <w:pStyle w:val="Normal"/>
        <w:tabs>
          <w:tab w:val="clear" w:pos="567"/>
          <w:tab w:val="left" w:pos="951" w:leader="none"/>
        </w:tabs>
        <w:spacing w:before="0" w:after="0"/>
        <w:ind w:left="560" w:right="20" w:hanging="0"/>
        <w:rPr>
          <w:sz w:val="24"/>
          <w:szCs w:val="24"/>
        </w:rPr>
      </w:pPr>
      <w:r>
        <w:rPr>
          <w:sz w:val="24"/>
          <w:szCs w:val="24"/>
        </w:rPr>
      </w:r>
    </w:p>
    <w:p>
      <w:pPr>
        <w:pStyle w:val="Normal"/>
        <w:tabs>
          <w:tab w:val="clear" w:pos="567"/>
          <w:tab w:val="left" w:pos="951" w:leader="none"/>
        </w:tabs>
        <w:spacing w:before="0" w:after="0"/>
        <w:rPr>
          <w:sz w:val="24"/>
          <w:szCs w:val="24"/>
        </w:rPr>
      </w:pPr>
      <w:r>
        <w:rPr>
          <w:sz w:val="24"/>
          <w:szCs w:val="24"/>
        </w:rPr>
      </w:r>
    </w:p>
    <w:tbl>
      <w:tblPr>
        <w:tblW w:w="5000" w:type="pct"/>
        <w:jc w:val="left"/>
        <w:tblInd w:w="55" w:type="dxa"/>
        <w:tblLayout w:type="fixed"/>
        <w:tblCellMar>
          <w:top w:w="55" w:type="dxa"/>
          <w:left w:w="55" w:type="dxa"/>
          <w:bottom w:w="55" w:type="dxa"/>
          <w:right w:w="55" w:type="dxa"/>
        </w:tblCellMar>
        <w:tblLook w:val="04a0" w:noHBand="0" w:noVBand="1" w:firstColumn="1" w:lastRow="0" w:lastColumn="0" w:firstRow="1"/>
      </w:tblPr>
      <w:tblGrid>
        <w:gridCol w:w="813"/>
        <w:gridCol w:w="2589"/>
        <w:gridCol w:w="1700"/>
        <w:gridCol w:w="1701"/>
        <w:gridCol w:w="1700"/>
        <w:gridCol w:w="1701"/>
      </w:tblGrid>
      <w:tr>
        <w:trPr/>
        <w:tc>
          <w:tcPr>
            <w:tcW w:w="813"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sz w:val="20"/>
                <w:szCs w:val="20"/>
              </w:rPr>
              <w:t>№</w:t>
            </w:r>
          </w:p>
        </w:tc>
        <w:tc>
          <w:tcPr>
            <w:tcW w:w="2589"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Наименование объекта имущества (сведения ЕГРН)</w:t>
            </w:r>
          </w:p>
        </w:tc>
        <w:tc>
          <w:tcPr>
            <w:tcW w:w="1700"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Наименование объекта имущества (сведения бухгалтерского учета)</w:t>
            </w:r>
          </w:p>
        </w:tc>
        <w:tc>
          <w:tcPr>
            <w:tcW w:w="1701"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Кадастровый номер</w:t>
            </w:r>
          </w:p>
        </w:tc>
        <w:tc>
          <w:tcPr>
            <w:tcW w:w="1700" w:type="dxa"/>
            <w:tcBorders>
              <w:top w:val="single" w:sz="4" w:space="0" w:color="000000"/>
              <w:left w:val="single" w:sz="4" w:space="0" w:color="000000"/>
              <w:bottom w:val="single" w:sz="4" w:space="0" w:color="000000"/>
            </w:tcBorders>
          </w:tcPr>
          <w:p>
            <w:pPr>
              <w:pStyle w:val="Normal"/>
              <w:widowControl w:val="false"/>
              <w:spacing w:before="120" w:after="0"/>
              <w:jc w:val="center"/>
              <w:rPr>
                <w:sz w:val="20"/>
                <w:szCs w:val="20"/>
              </w:rPr>
            </w:pPr>
            <w:r>
              <w:rPr>
                <w:b/>
                <w:sz w:val="20"/>
                <w:szCs w:val="20"/>
              </w:rPr>
              <w:t>Инвентарный номер</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b/>
                <w:sz w:val="20"/>
                <w:szCs w:val="20"/>
              </w:rPr>
              <w:t>Стоимость имущества, руб. без НДС</w:t>
            </w:r>
          </w:p>
        </w:tc>
      </w:tr>
      <w:tr>
        <w:trPr/>
        <w:tc>
          <w:tcPr>
            <w:tcW w:w="813"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2589" w:type="dxa"/>
            <w:tcBorders>
              <w:left w:val="single" w:sz="4" w:space="0" w:color="000000"/>
              <w:bottom w:val="single" w:sz="4" w:space="0" w:color="000000"/>
            </w:tcBorders>
          </w:tcPr>
          <w:p>
            <w:pPr>
              <w:pStyle w:val="Normal"/>
              <w:widowControl w:val="false"/>
              <w:spacing w:before="120" w:after="0"/>
              <w:jc w:val="left"/>
              <w:rPr>
                <w:b/>
                <w:bCs/>
                <w:sz w:val="20"/>
                <w:szCs w:val="20"/>
              </w:rPr>
            </w:pPr>
            <w:r>
              <w:rPr>
                <w:b/>
                <w:bCs/>
                <w:sz w:val="20"/>
                <w:szCs w:val="20"/>
              </w:rPr>
              <w:t>НЕДВИЖИМОЕ ИМУЩЕСТВО:</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1"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left"/>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Газопровод высокого давления для котельной Стройбазы № 1</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Газопровод высокого давления для котельной Стройбазы № 1</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50:05:0100136:372</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200061</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Блочно-модульное здание котельной. Тепловой пункт</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Блочно-модульное здание котельной. Тепловой пункт</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50:05:0100136:1314</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100029</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3</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резервно-топливное хозяйство</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резервно- топливное хозяйство</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50:05:0020101:247</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200065</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4</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дымовая труба, дымоходы</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дымовая труба, дымоходы</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50:05:0100134:3787</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200071</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изготовления сборного железобетона с подкрановыми путями)</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изготовления сборного железобетона с подкрановыми путями)</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50:05:0100137:510</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70105</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6</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склад цемента (силосные банки): 4 силосные банки емкостью по 1000 т и 6 силосных банок емкостью по 250 т</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склад цемента (силосные банки): 4 силосные банки емкостью по 1000 т и 6 силосных банок емкостью по 250 т</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50:05:0100137:514</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70109</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бетонного хозяйства)</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(Площадка бетонного хозяйства)</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50:05:0100145:374</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70110</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8</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компрессорная</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компрессорная</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50:05:0100137:182</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70112</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9</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склад инертных материалов</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склад инертных материалов</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50:05:0100137:180</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70111</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10</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бетонного хозяйства: галерея</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Сооружение бетонного хозяйства: галерея</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50:05:0100134:686</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70264</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11</w:t>
            </w:r>
          </w:p>
        </w:tc>
        <w:tc>
          <w:tcPr>
            <w:tcW w:w="2589"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здание стройлаборатории</w:t>
            </w:r>
          </w:p>
        </w:tc>
        <w:tc>
          <w:tcPr>
            <w:tcW w:w="1700" w:type="dxa"/>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Здание бетонного хозяйства: здание стройлаборатории</w:t>
            </w:r>
          </w:p>
        </w:tc>
        <w:tc>
          <w:tcPr>
            <w:tcW w:w="1701"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50:05:0100137:167</w:t>
            </w:r>
          </w:p>
        </w:tc>
        <w:tc>
          <w:tcPr>
            <w:tcW w:w="1700" w:type="dxa"/>
            <w:tcBorders>
              <w:left w:val="single" w:sz="4" w:space="0" w:color="000000"/>
              <w:bottom w:val="single" w:sz="4" w:space="0" w:color="000000"/>
            </w:tcBorders>
          </w:tcPr>
          <w:p>
            <w:pPr>
              <w:pStyle w:val="Normal"/>
              <w:widowControl w:val="false"/>
              <w:spacing w:before="120" w:after="0"/>
              <w:jc w:val="center"/>
              <w:rPr>
                <w:sz w:val="20"/>
                <w:szCs w:val="20"/>
              </w:rPr>
            </w:pPr>
            <w:r>
              <w:rPr>
                <w:sz w:val="20"/>
                <w:szCs w:val="20"/>
              </w:rPr>
              <w:t>70265</w:t>
            </w:r>
          </w:p>
        </w:tc>
        <w:tc>
          <w:tcPr>
            <w:tcW w:w="1701" w:type="dxa"/>
            <w:tcBorders>
              <w:left w:val="single" w:sz="4" w:space="0" w:color="000000"/>
              <w:bottom w:val="single" w:sz="4" w:space="0" w:color="000000"/>
              <w:right w:val="single" w:sz="4" w:space="0" w:color="000000"/>
            </w:tcBorders>
          </w:tcPr>
          <w:p>
            <w:pPr>
              <w:pStyle w:val="Normal"/>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2589" w:type="dxa"/>
            <w:tcBorders>
              <w:left w:val="single" w:sz="4" w:space="0" w:color="000000"/>
              <w:bottom w:val="single" w:sz="4" w:space="0" w:color="000000"/>
            </w:tcBorders>
          </w:tcPr>
          <w:p>
            <w:pPr>
              <w:pStyle w:val="Normal"/>
              <w:widowControl w:val="false"/>
              <w:spacing w:before="120" w:after="0"/>
              <w:jc w:val="left"/>
              <w:rPr>
                <w:b/>
                <w:bCs/>
                <w:color w:val="000000"/>
                <w:sz w:val="20"/>
                <w:szCs w:val="20"/>
              </w:rPr>
            </w:pPr>
            <w:r>
              <w:rPr>
                <w:b/>
                <w:bCs/>
                <w:color w:val="000000"/>
                <w:sz w:val="20"/>
                <w:szCs w:val="20"/>
              </w:rPr>
              <w:t>ДВИЖИМОЕ ИМУЩЕСТВО:</w:t>
            </w:r>
          </w:p>
        </w:tc>
        <w:tc>
          <w:tcPr>
            <w:tcW w:w="1700"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1701"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rPr>
                <w:sz w:val="20"/>
                <w:szCs w:val="20"/>
              </w:rPr>
            </w:pPr>
            <w:r>
              <w:rPr>
                <w:sz w:val="20"/>
                <w:szCs w:val="20"/>
              </w:rPr>
            </w:r>
          </w:p>
        </w:tc>
      </w:tr>
      <w:tr>
        <w:trPr>
          <w:trHeight w:val="378" w:hRule="atLeast"/>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Автомобильные весы</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rHeight w:val="570" w:hRule="atLeast"/>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Административно бытовой комплекс</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100021</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Конденсатонасосная.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Лабораторно-административное здание. Бетонное хозяйство.</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Наружное освещение территории бетонного хозяйства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color w:val="000000"/>
                <w:sz w:val="20"/>
                <w:szCs w:val="20"/>
              </w:rPr>
            </w:pPr>
            <w:r>
              <w:rPr>
                <w:color w:val="000000"/>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Промежуточный склад заполнителей</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Узел перегрузки.</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100006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Рециклинговая установка.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100032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Эстакада технологических трубопроводов. Бетонное хозяйство</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Ограждение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Хозяйственно-бытовая канализация.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Хозяйственно-питьевой водопровод.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20010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Очистные сооружения и ливневая канализация Стройбазы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Сети теплоснабжения и горячего водоснабжения.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Технический водопровод от К1 сущ. до бетонных заводов №№ 1.2.3.(2 этап)</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Наружные сети водопровода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Наружные сети канализации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Наружное освещение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Электроснабжение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200070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Подъездная автодорога к складу заполнителей</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Проезды и площадки территории бетонного хозяйства.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200048</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Подъездная и внутриплощадочная автодорога, площадка котельной.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РММ и СБК.</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Временные бункера приема инертных материалов</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Оборудование котельной на природном газе.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40089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26</w:t>
            </w:r>
          </w:p>
        </w:tc>
        <w:tc>
          <w:tcPr>
            <w:tcW w:w="4289"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t>Бетонный завод №1. Бетонное хозяйство</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Подъездная автодорога к бетонному заводу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200047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Бетонный завод № 2HZS-150.Бетонное хозяйство.</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100024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Бетонный завод № 3</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w:t>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100007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4289" w:type="dxa"/>
            <w:gridSpan w:val="2"/>
            <w:tcBorders>
              <w:left w:val="single" w:sz="4" w:space="0" w:color="000000"/>
              <w:bottom w:val="single" w:sz="4" w:space="0" w:color="000000"/>
            </w:tcBorders>
          </w:tcPr>
          <w:p>
            <w:pPr>
              <w:pStyle w:val="Normal"/>
              <w:widowControl w:val="false"/>
              <w:spacing w:before="120" w:after="0"/>
              <w:jc w:val="left"/>
              <w:rPr>
                <w:b/>
                <w:bCs/>
                <w:sz w:val="20"/>
                <w:szCs w:val="20"/>
              </w:rPr>
            </w:pPr>
            <w:r>
              <w:rPr>
                <w:b/>
                <w:bCs/>
                <w:sz w:val="20"/>
                <w:szCs w:val="20"/>
              </w:rPr>
              <w:t>ПРОЧИЕ МАШИНЫ И ОБОРУДОВАНИЕ:</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rPr>
                <w:sz w:val="20"/>
                <w:szCs w:val="20"/>
              </w:rPr>
            </w:pPr>
            <w:r>
              <w:rPr>
                <w:sz w:val="20"/>
                <w:szCs w:val="20"/>
              </w:rPr>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Склад заполнителей с узлом перегрузки. Конвейера №№ 1,2,3,4,5,6,7</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40001</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Аппаратура электрическая низковольтная до 1000В узла перегрузки.</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Грузоподъемное оборудование узла перегрузки</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Кран однобалочный подвесной электрический г/п 2тн узла перегрузки</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Аппаратура электрическая низковольтная до 1000В ленточных конвейеров 1-7</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Система контроля и управления ТП конвейеров ленточных №№ 1-7</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Машина разрывная испытательная РМ-50.Лабораторно-административное здание</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Машина разрывная испытательная РМ-100.Лабораторно-административное здание</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Технологическое оборудование бетоносмесительного узла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Насос хим. добавок.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400138</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Оборудование конденсатонасосной.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40090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Автомобильные весы.АРМ</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702342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Станок камнерезный TS-123.Лабораторно-административное здание</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пожарной сигнализации АБК Стройбаза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400111</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пожарной сигнализации лабораторно-административного здания</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2/1.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№1/2.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1/1.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19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воды № 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воды № 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инертных материалов № 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400118</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инертных материалов № 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400121</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3.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Бетоносмеситель № 4. Оборудование бетоносмесительного узла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 xml:space="preserve">№ </w:t>
            </w:r>
            <w:r>
              <w:rPr>
                <w:sz w:val="20"/>
                <w:szCs w:val="20"/>
              </w:rPr>
              <w:t>1. Дозатор цемента № 1/1.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1/2.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2/1.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цемента № 2/2. 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БСУ № 1. Оборудование бетоносмесительного узла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700344</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Силосы.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200055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Бетонное хозяйство. Система контроля и управления ТП HLS-200</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40008</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34</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Дозатор хим. добавок № 2/2.Оборудование бетоносмесительного узла № 1</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400112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35</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2.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36</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3.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400131</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37</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4.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400132</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38</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Воздушнотепловая завеса.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400133</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39</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БСУ № 2. Оборудование бетоносмесительного узла</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700345</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Технологическое оборудование.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400128</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41</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Ленточный конвейер № 1. Бетонный завод № 2</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400129</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42</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Система управления. Бетонный завод</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700346</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43</w:t>
            </w:r>
          </w:p>
        </w:tc>
        <w:tc>
          <w:tcPr>
            <w:tcW w:w="4289" w:type="dxa"/>
            <w:gridSpan w:val="2"/>
            <w:tcBorders>
              <w:left w:val="single" w:sz="4" w:space="0" w:color="000000"/>
              <w:bottom w:val="single" w:sz="4" w:space="0" w:color="000000"/>
            </w:tcBorders>
          </w:tcPr>
          <w:p>
            <w:pPr>
              <w:pStyle w:val="Style34"/>
              <w:widowControl w:val="false"/>
              <w:spacing w:before="120" w:after="0"/>
              <w:jc w:val="left"/>
              <w:rPr>
                <w:sz w:val="20"/>
                <w:szCs w:val="20"/>
              </w:rPr>
            </w:pPr>
            <w:r>
              <w:rPr>
                <w:sz w:val="20"/>
                <w:szCs w:val="20"/>
              </w:rPr>
              <w:t>Бетонный завод HLS-200 № 3.Оборудование технологическое бетоносмесительных установок</w:t>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40007</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4289"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ИТОГО без учета НДС</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4289"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НДС 20%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r>
        <w:trPr/>
        <w:tc>
          <w:tcPr>
            <w:tcW w:w="813"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4289" w:type="dxa"/>
            <w:gridSpan w:val="2"/>
            <w:tcBorders>
              <w:left w:val="single" w:sz="4" w:space="0" w:color="000000"/>
              <w:bottom w:val="single" w:sz="4" w:space="0" w:color="000000"/>
            </w:tcBorders>
          </w:tcPr>
          <w:p>
            <w:pPr>
              <w:pStyle w:val="Normal"/>
              <w:widowControl w:val="false"/>
              <w:spacing w:before="120" w:after="0"/>
              <w:jc w:val="left"/>
              <w:rPr>
                <w:sz w:val="20"/>
                <w:szCs w:val="20"/>
              </w:rPr>
            </w:pPr>
            <w:r>
              <w:rPr>
                <w:sz w:val="20"/>
                <w:szCs w:val="20"/>
              </w:rPr>
            </w:r>
          </w:p>
        </w:tc>
        <w:tc>
          <w:tcPr>
            <w:tcW w:w="1701"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r>
          </w:p>
        </w:tc>
        <w:tc>
          <w:tcPr>
            <w:tcW w:w="1700" w:type="dxa"/>
            <w:tcBorders>
              <w:left w:val="single" w:sz="4" w:space="0" w:color="000000"/>
              <w:bottom w:val="single" w:sz="4" w:space="0" w:color="000000"/>
            </w:tcBorders>
          </w:tcPr>
          <w:p>
            <w:pPr>
              <w:pStyle w:val="Style34"/>
              <w:widowControl w:val="false"/>
              <w:spacing w:before="120" w:after="0"/>
              <w:jc w:val="center"/>
              <w:rPr>
                <w:sz w:val="20"/>
                <w:szCs w:val="20"/>
              </w:rPr>
            </w:pPr>
            <w:r>
              <w:rPr>
                <w:sz w:val="20"/>
                <w:szCs w:val="20"/>
              </w:rPr>
              <w:t>ИТОГО с учетом с НДС 20%</w:t>
            </w:r>
          </w:p>
        </w:tc>
        <w:tc>
          <w:tcPr>
            <w:tcW w:w="1701" w:type="dxa"/>
            <w:tcBorders>
              <w:left w:val="single" w:sz="4" w:space="0" w:color="000000"/>
              <w:bottom w:val="single" w:sz="4" w:space="0" w:color="000000"/>
              <w:right w:val="single" w:sz="4" w:space="0" w:color="000000"/>
            </w:tcBorders>
          </w:tcPr>
          <w:p>
            <w:pPr>
              <w:pStyle w:val="Style34"/>
              <w:widowControl w:val="false"/>
              <w:spacing w:before="120" w:after="0"/>
              <w:jc w:val="center"/>
              <w:rPr>
                <w:sz w:val="20"/>
                <w:szCs w:val="20"/>
              </w:rPr>
            </w:pPr>
            <w:r>
              <w:rPr>
                <w:sz w:val="20"/>
                <w:szCs w:val="20"/>
              </w:rPr>
            </w:r>
          </w:p>
        </w:tc>
      </w:tr>
    </w:tbl>
    <w:p>
      <w:pPr>
        <w:pStyle w:val="Normal"/>
        <w:tabs>
          <w:tab w:val="clear" w:pos="567"/>
          <w:tab w:val="left" w:pos="951" w:leader="none"/>
        </w:tabs>
        <w:spacing w:before="0" w:after="0"/>
        <w:ind w:left="560" w:right="20" w:hanging="0"/>
        <w:rPr>
          <w:sz w:val="24"/>
          <w:szCs w:val="24"/>
        </w:rPr>
      </w:pPr>
      <w:r>
        <w:rPr>
          <w:sz w:val="24"/>
          <w:szCs w:val="24"/>
        </w:rPr>
      </w:r>
    </w:p>
    <w:p>
      <w:pPr>
        <w:pStyle w:val="Normal"/>
        <w:widowControl w:val="false"/>
        <w:spacing w:before="0" w:after="0"/>
        <w:ind w:firstLine="709"/>
        <w:rPr/>
      </w:pPr>
      <w:r>
        <w:rPr/>
        <w:t>2. Покупатель претензий по состоянию Имущества не имеет.</w:t>
      </w:r>
    </w:p>
    <w:p>
      <w:pPr>
        <w:pStyle w:val="Normal"/>
        <w:widowControl w:val="false"/>
        <w:spacing w:before="0" w:after="0"/>
        <w:ind w:firstLine="709"/>
        <w:rPr/>
      </w:pPr>
      <w:r>
        <w:rPr/>
        <w:t>3. Вместе с Имуществом продавец передал Покупателю всю имеющуюся у него документацию на Имущество.</w:t>
      </w:r>
    </w:p>
    <w:p>
      <w:pPr>
        <w:pStyle w:val="Normal"/>
        <w:widowControl w:val="false"/>
        <w:spacing w:before="0" w:after="0"/>
        <w:ind w:firstLine="709"/>
        <w:rPr/>
      </w:pPr>
      <w:r>
        <w:rPr/>
        <w:t>4. С даты подписания Акта Продавец считается исполнившим свою обязанность по передаче Имущества Покупателю.</w:t>
      </w:r>
    </w:p>
    <w:p>
      <w:pPr>
        <w:pStyle w:val="Normal"/>
        <w:spacing w:before="0" w:after="0"/>
        <w:ind w:firstLine="709"/>
        <w:rPr/>
      </w:pPr>
      <w:r>
        <w:rPr/>
        <w:t>5.  Акт составлен и подписан в 3 (трех) экземплярах, имеющих равную силу: по одному для каждой из Сторон, один - для органа государственной регистрации прав.</w:t>
      </w:r>
    </w:p>
    <w:p>
      <w:pPr>
        <w:pStyle w:val="Normal"/>
        <w:ind w:left="540" w:right="20" w:hanging="0"/>
        <w:rPr>
          <w:sz w:val="24"/>
          <w:szCs w:val="24"/>
        </w:rPr>
      </w:pPr>
      <w:r>
        <w:rPr>
          <w:sz w:val="24"/>
          <w:szCs w:val="24"/>
        </w:rPr>
      </w:r>
    </w:p>
    <w:p>
      <w:pPr>
        <w:pStyle w:val="Normal"/>
        <w:ind w:left="540" w:right="20" w:hanging="0"/>
        <w:rPr>
          <w:sz w:val="24"/>
          <w:szCs w:val="24"/>
        </w:rPr>
      </w:pPr>
      <w:r>
        <w:rPr>
          <w:sz w:val="24"/>
          <w:szCs w:val="24"/>
        </w:rPr>
      </w:r>
    </w:p>
    <w:tbl>
      <w:tblPr>
        <w:tblW w:w="9723"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960"/>
        <w:gridCol w:w="4762"/>
      </w:tblGrid>
      <w:tr>
        <w:trPr>
          <w:trHeight w:val="401" w:hRule="atLeast"/>
        </w:trPr>
        <w:tc>
          <w:tcPr>
            <w:tcW w:w="4960" w:type="dxa"/>
            <w:tcBorders/>
          </w:tcPr>
          <w:p>
            <w:pPr>
              <w:pStyle w:val="Normal"/>
              <w:widowControl w:val="false"/>
              <w:spacing w:before="0" w:after="0"/>
              <w:rPr/>
            </w:pPr>
            <w:r>
              <w:rPr>
                <w:bCs/>
              </w:rPr>
              <w:t>Продавец:</w:t>
            </w:r>
          </w:p>
        </w:tc>
        <w:tc>
          <w:tcPr>
            <w:tcW w:w="4762" w:type="dxa"/>
            <w:tcBorders/>
          </w:tcPr>
          <w:p>
            <w:pPr>
              <w:pStyle w:val="Normal"/>
              <w:widowControl w:val="false"/>
              <w:snapToGrid w:val="false"/>
              <w:spacing w:before="0" w:after="0"/>
              <w:rPr>
                <w:bCs/>
              </w:rPr>
            </w:pPr>
            <w:r>
              <w:rPr>
                <w:bCs/>
              </w:rPr>
              <w:t>Покупатель:</w:t>
            </w:r>
          </w:p>
        </w:tc>
      </w:tr>
      <w:tr>
        <w:trPr/>
        <w:tc>
          <w:tcPr>
            <w:tcW w:w="4960"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p>
            <w:pPr>
              <w:pStyle w:val="Normal"/>
              <w:widowControl w:val="false"/>
              <w:snapToGrid w:val="false"/>
              <w:spacing w:before="0" w:after="0"/>
              <w:rPr>
                <w:bCs/>
              </w:rPr>
            </w:pPr>
            <w:r>
              <w:rPr>
                <w:bCs/>
              </w:rPr>
            </w:r>
          </w:p>
        </w:tc>
        <w:tc>
          <w:tcPr>
            <w:tcW w:w="4762"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p>
            <w:pPr>
              <w:pStyle w:val="Normal"/>
              <w:widowControl w:val="false"/>
              <w:snapToGrid w:val="false"/>
              <w:spacing w:before="0" w:after="0"/>
              <w:rPr/>
            </w:pPr>
            <w:r>
              <w:rPr/>
            </w:r>
          </w:p>
        </w:tc>
      </w:tr>
    </w:tbl>
    <w:p>
      <w:pPr>
        <w:pStyle w:val="Normal"/>
        <w:ind w:firstLine="567"/>
        <w:jc w:val="left"/>
        <w:rPr/>
      </w:pPr>
      <w:r>
        <w:rPr/>
        <w:t>Согласовано:</w:t>
      </w:r>
    </w:p>
    <w:p>
      <w:pPr>
        <w:pStyle w:val="Normal"/>
        <w:ind w:firstLine="567"/>
        <w:jc w:val="left"/>
        <w:rPr/>
      </w:pPr>
      <w:r>
        <w:rPr/>
      </w:r>
    </w:p>
    <w:tbl>
      <w:tblPr>
        <w:tblW w:w="9723"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960"/>
        <w:gridCol w:w="4762"/>
      </w:tblGrid>
      <w:tr>
        <w:trPr>
          <w:trHeight w:val="401" w:hRule="atLeast"/>
        </w:trPr>
        <w:tc>
          <w:tcPr>
            <w:tcW w:w="4960" w:type="dxa"/>
            <w:tcBorders/>
          </w:tcPr>
          <w:p>
            <w:pPr>
              <w:pStyle w:val="Normal"/>
              <w:widowControl w:val="false"/>
              <w:spacing w:before="0" w:after="0"/>
              <w:rPr/>
            </w:pPr>
            <w:r>
              <w:rPr>
                <w:bCs/>
              </w:rPr>
              <w:t>Продавец:</w:t>
            </w:r>
          </w:p>
        </w:tc>
        <w:tc>
          <w:tcPr>
            <w:tcW w:w="4762" w:type="dxa"/>
            <w:tcBorders/>
          </w:tcPr>
          <w:p>
            <w:pPr>
              <w:pStyle w:val="Normal"/>
              <w:widowControl w:val="false"/>
              <w:snapToGrid w:val="false"/>
              <w:spacing w:before="0" w:after="0"/>
              <w:rPr>
                <w:bCs/>
              </w:rPr>
            </w:pPr>
            <w:r>
              <w:rPr>
                <w:bCs/>
              </w:rPr>
              <w:t>Покупатель:</w:t>
            </w:r>
          </w:p>
        </w:tc>
      </w:tr>
      <w:tr>
        <w:trPr/>
        <w:tc>
          <w:tcPr>
            <w:tcW w:w="4960"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p>
            <w:pPr>
              <w:pStyle w:val="Normal"/>
              <w:widowControl w:val="false"/>
              <w:snapToGrid w:val="false"/>
              <w:spacing w:before="0" w:after="0"/>
              <w:rPr>
                <w:bCs/>
              </w:rPr>
            </w:pPr>
            <w:r>
              <w:rPr>
                <w:bCs/>
              </w:rPr>
            </w:r>
          </w:p>
        </w:tc>
        <w:tc>
          <w:tcPr>
            <w:tcW w:w="4762"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p>
            <w:pPr>
              <w:pStyle w:val="Normal"/>
              <w:widowControl w:val="false"/>
              <w:snapToGrid w:val="false"/>
              <w:spacing w:before="0" w:after="0"/>
              <w:rPr>
                <w:bCs/>
              </w:rPr>
            </w:pPr>
            <w:r>
              <w:rPr>
                <w:bCs/>
              </w:rPr>
            </w:r>
          </w:p>
          <w:p>
            <w:pPr>
              <w:pStyle w:val="Normal"/>
              <w:widowControl w:val="false"/>
              <w:snapToGrid w:val="false"/>
              <w:spacing w:before="0" w:after="0"/>
              <w:rPr/>
            </w:pPr>
            <w:r>
              <w:rPr/>
            </w:r>
          </w:p>
          <w:p>
            <w:pPr>
              <w:pStyle w:val="Normal"/>
              <w:widowControl w:val="false"/>
              <w:snapToGrid w:val="false"/>
              <w:spacing w:before="0" w:after="0"/>
              <w:rPr/>
            </w:pPr>
            <w:r>
              <w:rPr/>
            </w:r>
          </w:p>
          <w:p>
            <w:pPr>
              <w:pStyle w:val="Normal"/>
              <w:widowControl w:val="false"/>
              <w:snapToGrid w:val="false"/>
              <w:spacing w:before="0" w:after="0"/>
              <w:rPr/>
            </w:pPr>
            <w:r>
              <w:rPr/>
            </w:r>
          </w:p>
          <w:p>
            <w:pPr>
              <w:pStyle w:val="Normal"/>
              <w:widowControl w:val="false"/>
              <w:snapToGrid w:val="false"/>
              <w:spacing w:before="0" w:after="0"/>
              <w:rPr/>
            </w:pPr>
            <w:r>
              <w:rPr/>
            </w:r>
          </w:p>
          <w:p>
            <w:pPr>
              <w:pStyle w:val="Normal"/>
              <w:widowControl w:val="false"/>
              <w:snapToGrid w:val="false"/>
              <w:spacing w:before="0" w:after="0"/>
              <w:rPr/>
            </w:pPr>
            <w:r>
              <w:rPr/>
            </w:r>
          </w:p>
        </w:tc>
      </w:tr>
    </w:tbl>
    <w:p>
      <w:pPr>
        <w:pStyle w:val="Normal"/>
        <w:ind w:firstLine="567"/>
        <w:jc w:val="left"/>
        <w:rPr/>
      </w:pPr>
      <w:r>
        <w:rPr/>
      </w:r>
      <w:r>
        <w:br w:type="page"/>
      </w:r>
    </w:p>
    <w:p>
      <w:pPr>
        <w:pStyle w:val="Normal"/>
        <w:spacing w:before="0" w:after="0"/>
        <w:jc w:val="right"/>
        <w:rPr/>
      </w:pPr>
      <w:r>
        <w:rPr/>
        <w:t>Приложение № 3</w:t>
      </w:r>
    </w:p>
    <w:p>
      <w:pPr>
        <w:pStyle w:val="Normal"/>
        <w:spacing w:before="0" w:after="0"/>
        <w:jc w:val="right"/>
        <w:rPr/>
      </w:pPr>
      <w:r>
        <w:rPr/>
        <w:t>к Договору купли-продажи имущества</w:t>
      </w:r>
    </w:p>
    <w:p>
      <w:pPr>
        <w:pStyle w:val="Normal"/>
        <w:spacing w:before="0" w:after="0"/>
        <w:jc w:val="right"/>
        <w:rPr/>
      </w:pPr>
      <w:r>
        <w:rPr/>
        <w:t>от «__» ________ 20__ г. №___________</w:t>
      </w:r>
    </w:p>
    <w:p>
      <w:pPr>
        <w:pStyle w:val="Normal"/>
        <w:spacing w:before="0" w:after="0"/>
        <w:jc w:val="right"/>
        <w:rPr/>
      </w:pPr>
      <w:r>
        <w:rPr/>
      </w:r>
    </w:p>
    <w:p>
      <w:pPr>
        <w:pStyle w:val="Normal"/>
        <w:numPr>
          <w:ilvl w:val="0"/>
          <w:numId w:val="0"/>
        </w:numPr>
        <w:spacing w:before="0" w:after="0"/>
        <w:ind w:left="0" w:firstLine="709"/>
        <w:jc w:val="center"/>
        <w:outlineLvl w:val="2"/>
        <w:rPr>
          <w:b/>
        </w:rPr>
      </w:pPr>
      <w:r>
        <w:rPr>
          <w:b/>
        </w:rPr>
        <w:t>Соглашение</w:t>
      </w:r>
    </w:p>
    <w:p>
      <w:pPr>
        <w:pStyle w:val="Normal"/>
        <w:numPr>
          <w:ilvl w:val="0"/>
          <w:numId w:val="0"/>
        </w:numPr>
        <w:spacing w:before="0" w:after="0"/>
        <w:ind w:left="0" w:firstLine="709"/>
        <w:jc w:val="center"/>
        <w:outlineLvl w:val="2"/>
        <w:rPr>
          <w:b/>
        </w:rPr>
      </w:pPr>
      <w:r>
        <w:rPr>
          <w:b/>
        </w:rPr>
        <w:t>о задатке в счет обеспечения исполнения договора купли-продажи недвижимого имущества</w:t>
      </w:r>
    </w:p>
    <w:p>
      <w:pPr>
        <w:pStyle w:val="Normal"/>
        <w:tabs>
          <w:tab w:val="clear" w:pos="567"/>
          <w:tab w:val="left" w:pos="6096" w:leader="none"/>
        </w:tabs>
        <w:spacing w:before="0" w:after="0"/>
        <w:ind w:firstLine="709"/>
        <w:rPr>
          <w:b/>
        </w:rPr>
      </w:pPr>
      <w:r>
        <w:rPr>
          <w:b/>
        </w:rPr>
        <w:tab/>
        <w:tab/>
      </w:r>
    </w:p>
    <w:p>
      <w:pPr>
        <w:pStyle w:val="Normal"/>
        <w:spacing w:before="0" w:after="0"/>
        <w:ind w:firstLine="709"/>
        <w:rPr/>
      </w:pPr>
      <w:r>
        <w:rPr>
          <w:b/>
        </w:rPr>
        <w:t>АО «Загорская ГАЭС-2»</w:t>
      </w:r>
      <w:r>
        <w:rPr/>
        <w:t xml:space="preserve"> (далее – «Продавец»), в лице _________________________, действующего на основании __________________________________, с одной стороны, и </w:t>
      </w:r>
    </w:p>
    <w:p>
      <w:pPr>
        <w:pStyle w:val="Normal"/>
        <w:spacing w:before="0" w:after="0"/>
        <w:ind w:firstLine="709"/>
        <w:rPr>
          <w:rStyle w:val="PlaceholderText"/>
        </w:rPr>
      </w:pPr>
      <w:r>
        <w:rPr>
          <w:b/>
        </w:rPr>
        <w:t>__________________________</w:t>
      </w:r>
      <w:r>
        <w:rPr/>
        <w:t xml:space="preserve"> (далее – «Покупатель»), в лице _________________________________, действующего на основании ____________________, с другой стороны, </w:t>
      </w:r>
      <w:r>
        <w:rPr>
          <w:rStyle w:val="PlaceholderText"/>
          <w:color w:val="000000" w:themeColor="text1"/>
        </w:rPr>
        <w:t>совместно именуемые «Стороны», заключили настоящее Соглашение о нижеследующем:</w:t>
      </w:r>
    </w:p>
    <w:p>
      <w:pPr>
        <w:pStyle w:val="Normal"/>
        <w:numPr>
          <w:ilvl w:val="0"/>
          <w:numId w:val="0"/>
        </w:numPr>
        <w:spacing w:before="0" w:after="0"/>
        <w:ind w:left="0" w:firstLine="709"/>
        <w:outlineLvl w:val="2"/>
        <w:rPr>
          <w:rStyle w:val="PlaceholderText"/>
        </w:rPr>
      </w:pPr>
      <w:r>
        <w:rPr/>
      </w:r>
    </w:p>
    <w:p>
      <w:pPr>
        <w:pStyle w:val="Normal"/>
        <w:numPr>
          <w:ilvl w:val="0"/>
          <w:numId w:val="0"/>
        </w:numPr>
        <w:spacing w:before="0" w:after="0"/>
        <w:ind w:left="0" w:firstLine="709"/>
        <w:jc w:val="center"/>
        <w:outlineLvl w:val="2"/>
        <w:rPr>
          <w:b/>
          <w:bCs/>
          <w:color w:val="000000" w:themeColor="text1"/>
        </w:rPr>
      </w:pPr>
      <w:r>
        <w:rPr>
          <w:b/>
          <w:bCs/>
          <w:color w:val="000000" w:themeColor="text1"/>
        </w:rPr>
        <w:t>1. Предмет Соглашения</w:t>
      </w:r>
    </w:p>
    <w:p>
      <w:pPr>
        <w:pStyle w:val="Normal"/>
        <w:numPr>
          <w:ilvl w:val="0"/>
          <w:numId w:val="0"/>
        </w:numPr>
        <w:spacing w:before="0" w:after="0"/>
        <w:ind w:left="0" w:firstLine="709"/>
        <w:outlineLvl w:val="2"/>
        <w:rPr>
          <w:color w:val="000000" w:themeColor="text1"/>
        </w:rPr>
      </w:pPr>
      <w:r>
        <w:rPr>
          <w:color w:val="000000" w:themeColor="text1"/>
        </w:rPr>
        <w:t xml:space="preserve">1.1. В соответствии с протоколом о результатах аукциона от __________, Комиссией принято решение о признании победителем аукциона по продаже имущества </w:t>
      </w:r>
      <w:r>
        <w:rPr/>
        <w:t>«Имущественный комплекс бетонного завода, расположенный по адресу: Московская обл., Сергиево-Посадский городской округ, пос. Богородское» (Приложение №1 Договора) (далее – «Имущество) _________________</w:t>
      </w:r>
      <w:r>
        <w:rPr>
          <w:color w:val="000000" w:themeColor="text1"/>
        </w:rPr>
        <w:t>.</w:t>
      </w:r>
    </w:p>
    <w:p>
      <w:pPr>
        <w:pStyle w:val="Normal"/>
        <w:numPr>
          <w:ilvl w:val="0"/>
          <w:numId w:val="0"/>
        </w:numPr>
        <w:spacing w:before="0" w:after="0"/>
        <w:ind w:left="0" w:firstLine="709"/>
        <w:outlineLvl w:val="2"/>
        <w:rPr>
          <w:color w:val="000000" w:themeColor="text1"/>
        </w:rPr>
      </w:pPr>
      <w:r>
        <w:rPr>
          <w:color w:val="000000" w:themeColor="text1"/>
        </w:rPr>
        <w:t>1.2. В соответствии с условиями Соглашения Покупатель вносит обеспечение исполнения обязательств по Договору, указанных в пункте 4.1 Соглашения в форме задатка (далее - «Задаток»), в размере, указанном в пункте 2.1 Соглашения.</w:t>
      </w:r>
    </w:p>
    <w:p>
      <w:pPr>
        <w:pStyle w:val="Normal"/>
        <w:numPr>
          <w:ilvl w:val="0"/>
          <w:numId w:val="0"/>
        </w:numPr>
        <w:spacing w:before="0" w:after="0"/>
        <w:ind w:left="0" w:firstLine="709"/>
        <w:outlineLvl w:val="2"/>
        <w:rPr>
          <w:color w:val="000000" w:themeColor="text1"/>
        </w:rPr>
      </w:pPr>
      <w:r>
        <w:rPr>
          <w:color w:val="000000" w:themeColor="text1"/>
        </w:rPr>
        <w:t>1.3. После исполнения Покупателем обязательств, указанных в пункте 4.1 Соглашения, вся сумма Задатка засчитывается в счет исполнения Покупателем своих обязательств по оплате Имущества.</w:t>
      </w:r>
    </w:p>
    <w:p>
      <w:pPr>
        <w:pStyle w:val="Normal"/>
        <w:numPr>
          <w:ilvl w:val="0"/>
          <w:numId w:val="0"/>
        </w:numPr>
        <w:spacing w:before="0" w:after="0"/>
        <w:ind w:left="0" w:firstLine="709"/>
        <w:outlineLvl w:val="2"/>
        <w:rPr>
          <w:color w:val="FF0000"/>
          <w:sz w:val="24"/>
          <w:szCs w:val="24"/>
        </w:rPr>
      </w:pPr>
      <w:r>
        <w:rPr>
          <w:color w:val="FF0000"/>
          <w:sz w:val="24"/>
          <w:szCs w:val="24"/>
        </w:rPr>
      </w:r>
    </w:p>
    <w:p>
      <w:pPr>
        <w:pStyle w:val="Normal"/>
        <w:numPr>
          <w:ilvl w:val="0"/>
          <w:numId w:val="0"/>
        </w:numPr>
        <w:spacing w:before="0" w:after="0"/>
        <w:ind w:left="0" w:firstLine="709"/>
        <w:jc w:val="center"/>
        <w:outlineLvl w:val="2"/>
        <w:rPr>
          <w:b/>
          <w:bCs/>
          <w:color w:val="000000" w:themeColor="text1"/>
        </w:rPr>
      </w:pPr>
      <w:r>
        <w:rPr>
          <w:b/>
          <w:bCs/>
          <w:color w:val="000000" w:themeColor="text1"/>
        </w:rPr>
        <w:t>2. Порядок внесения задатка</w:t>
      </w:r>
    </w:p>
    <w:p>
      <w:pPr>
        <w:pStyle w:val="Normal"/>
        <w:numPr>
          <w:ilvl w:val="0"/>
          <w:numId w:val="0"/>
        </w:numPr>
        <w:spacing w:before="0" w:after="0"/>
        <w:ind w:left="0" w:firstLine="709"/>
        <w:outlineLvl w:val="2"/>
        <w:rPr>
          <w:color w:val="000000" w:themeColor="text1"/>
        </w:rPr>
      </w:pPr>
      <w:r>
        <w:rPr>
          <w:color w:val="000000" w:themeColor="text1"/>
        </w:rPr>
        <w:t>2.1. Покупатель в качестве обеспечения исполнения обязательства о заключении Договора купли-продажи Имущества, реализуемого Продавцом путем организации на электронной торговой площадке АО «Российский аукционный дом» (далее – «ЭТП») открытого аукциона в электронной форме, перечислил денежные средства на индивидуальный счет Покупателя, открытый Покупателю оператором ЭТП в соответствии с Регламентом ЭТП (далее – «Индивидуальный счет»), в размере ________ (</w:t>
      </w:r>
      <w:r>
        <w:rPr/>
        <w:t>__________</w:t>
      </w:r>
      <w:r>
        <w:rPr>
          <w:color w:val="000000" w:themeColor="text1"/>
        </w:rPr>
        <w:t>) рублей __ копеек.</w:t>
      </w:r>
    </w:p>
    <w:p>
      <w:pPr>
        <w:pStyle w:val="Normal"/>
        <w:numPr>
          <w:ilvl w:val="0"/>
          <w:numId w:val="0"/>
        </w:numPr>
        <w:spacing w:before="0" w:after="0"/>
        <w:ind w:left="0" w:firstLine="709"/>
        <w:outlineLvl w:val="2"/>
        <w:rPr>
          <w:color w:val="000000" w:themeColor="text1"/>
        </w:rPr>
      </w:pPr>
      <w:r>
        <w:rPr>
          <w:color w:val="000000" w:themeColor="text1"/>
        </w:rPr>
        <w:t xml:space="preserve">2.2. Задаток вносится путем перечисления оператором ЭТП денежных средств Покупателя, заблокированных на Индивидуальном счете ЭТП в качестве обеспечения в соответствии с пунктом 2.1 Соглашения, на расчетный счет Продавца в течение 5 (пяти) рабочих дней с даты загрузки подписанного Договора на ЭТП. Подписание Соглашения является согласием Покупателя на указанный в настоящем пункте порядок внесения Задатка. </w:t>
      </w:r>
    </w:p>
    <w:p>
      <w:pPr>
        <w:pStyle w:val="Normal"/>
        <w:numPr>
          <w:ilvl w:val="0"/>
          <w:numId w:val="0"/>
        </w:numPr>
        <w:spacing w:before="0" w:after="0"/>
        <w:ind w:left="0" w:firstLine="709"/>
        <w:outlineLvl w:val="2"/>
        <w:rPr>
          <w:color w:val="000000" w:themeColor="text1"/>
        </w:rPr>
      </w:pPr>
      <w:r>
        <w:rPr>
          <w:color w:val="000000" w:themeColor="text1"/>
        </w:rPr>
        <w:t xml:space="preserve">2.3. Задаток считается внесенным с даты поступления всей суммы Задатка на расчетный счет Продавца в соответствии с пунктом 1.2 Соглашения. В случае непоступления суммы Задатка, обязательства Покупателя по внесению задатка считаются не выполненными. </w:t>
      </w:r>
    </w:p>
    <w:p>
      <w:pPr>
        <w:pStyle w:val="Normal"/>
        <w:numPr>
          <w:ilvl w:val="0"/>
          <w:numId w:val="0"/>
        </w:numPr>
        <w:spacing w:before="0" w:after="0"/>
        <w:ind w:left="0" w:firstLine="709"/>
        <w:outlineLvl w:val="2"/>
        <w:rPr>
          <w:color w:val="000000" w:themeColor="text1"/>
        </w:rPr>
      </w:pPr>
      <w:r>
        <w:rPr>
          <w:color w:val="000000" w:themeColor="text1"/>
        </w:rPr>
        <w:t>2.4. На денежные средства, перечисленные в соответствии с Соглашением, проценты не начисляются.</w:t>
      </w:r>
    </w:p>
    <w:p>
      <w:pPr>
        <w:pStyle w:val="Normal"/>
        <w:numPr>
          <w:ilvl w:val="0"/>
          <w:numId w:val="0"/>
        </w:numPr>
        <w:spacing w:before="0" w:after="0"/>
        <w:ind w:left="0" w:firstLine="709"/>
        <w:outlineLvl w:val="2"/>
        <w:rPr>
          <w:color w:val="000000" w:themeColor="text1"/>
        </w:rPr>
      </w:pPr>
      <w:r>
        <w:rPr>
          <w:color w:val="000000" w:themeColor="text1"/>
        </w:rPr>
      </w:r>
    </w:p>
    <w:p>
      <w:pPr>
        <w:pStyle w:val="Normal"/>
        <w:numPr>
          <w:ilvl w:val="0"/>
          <w:numId w:val="0"/>
        </w:numPr>
        <w:spacing w:before="0" w:after="0"/>
        <w:ind w:left="0" w:firstLine="709"/>
        <w:jc w:val="center"/>
        <w:outlineLvl w:val="2"/>
        <w:rPr>
          <w:b/>
          <w:bCs/>
          <w:color w:val="000000" w:themeColor="text1"/>
        </w:rPr>
      </w:pPr>
      <w:r>
        <w:rPr>
          <w:b/>
          <w:bCs/>
          <w:color w:val="000000" w:themeColor="text1"/>
        </w:rPr>
        <w:t>3. Порядок удержания задатка</w:t>
      </w:r>
    </w:p>
    <w:p>
      <w:pPr>
        <w:pStyle w:val="Normal"/>
        <w:numPr>
          <w:ilvl w:val="0"/>
          <w:numId w:val="0"/>
        </w:numPr>
        <w:spacing w:before="0" w:after="0"/>
        <w:ind w:left="0" w:firstLine="709"/>
        <w:outlineLvl w:val="2"/>
        <w:rPr>
          <w:color w:val="000000" w:themeColor="text1"/>
        </w:rPr>
      </w:pPr>
      <w:r>
        <w:rPr>
          <w:color w:val="000000" w:themeColor="text1"/>
        </w:rPr>
        <w:t>3.1. Перечисленные согласно требованиям пункта 2.2 Соглашения на Расчетный счет Продавца (в качестве задатка) денежные средства не возвращаются Покупателю (удерживаются):</w:t>
      </w:r>
    </w:p>
    <w:p>
      <w:pPr>
        <w:pStyle w:val="Normal"/>
        <w:numPr>
          <w:ilvl w:val="0"/>
          <w:numId w:val="0"/>
        </w:numPr>
        <w:spacing w:before="0" w:after="0"/>
        <w:ind w:left="0" w:firstLine="709"/>
        <w:outlineLvl w:val="2"/>
        <w:rPr>
          <w:color w:val="000000" w:themeColor="text1"/>
        </w:rPr>
      </w:pPr>
      <w:r>
        <w:rPr>
          <w:color w:val="000000" w:themeColor="text1"/>
        </w:rPr>
        <w:t>3.1.1. В случае неоплаты Имущества Покупателем в срок и порядке, установленные Договором.</w:t>
      </w:r>
    </w:p>
    <w:p>
      <w:pPr>
        <w:pStyle w:val="Normal"/>
        <w:numPr>
          <w:ilvl w:val="0"/>
          <w:numId w:val="0"/>
        </w:numPr>
        <w:spacing w:before="0" w:after="0"/>
        <w:ind w:left="0" w:firstLine="709"/>
        <w:outlineLvl w:val="2"/>
        <w:rPr>
          <w:color w:val="000000" w:themeColor="text1"/>
        </w:rPr>
      </w:pPr>
      <w:r>
        <w:rPr>
          <w:color w:val="000000" w:themeColor="text1"/>
        </w:rPr>
        <w:t>3.1.2. В случае неисполнения обязательства по государственной регистрации перехода права собственности на Имущество.</w:t>
      </w:r>
    </w:p>
    <w:p>
      <w:pPr>
        <w:pStyle w:val="Normal"/>
        <w:numPr>
          <w:ilvl w:val="0"/>
          <w:numId w:val="0"/>
        </w:numPr>
        <w:spacing w:before="0" w:after="0"/>
        <w:ind w:left="0" w:firstLine="709"/>
        <w:outlineLvl w:val="2"/>
        <w:rPr>
          <w:color w:val="000000" w:themeColor="text1"/>
        </w:rPr>
      </w:pPr>
      <w:r>
        <w:rPr>
          <w:color w:val="000000" w:themeColor="text1"/>
        </w:rPr>
        <w:t>3.2. Удержание задатка не освобождает Покупателя от необходимости выполнения обязательств по Договору купли-продажи Имущества.</w:t>
      </w:r>
    </w:p>
    <w:p>
      <w:pPr>
        <w:pStyle w:val="Normal"/>
        <w:numPr>
          <w:ilvl w:val="0"/>
          <w:numId w:val="0"/>
        </w:numPr>
        <w:spacing w:before="0" w:after="0"/>
        <w:ind w:left="0" w:firstLine="709"/>
        <w:outlineLvl w:val="2"/>
        <w:rPr>
          <w:b/>
          <w:bCs/>
          <w:color w:val="000000" w:themeColor="text1"/>
        </w:rPr>
      </w:pPr>
      <w:r>
        <w:rPr>
          <w:b/>
          <w:bCs/>
          <w:color w:val="000000" w:themeColor="text1"/>
        </w:rPr>
      </w:r>
    </w:p>
    <w:p>
      <w:pPr>
        <w:pStyle w:val="Normal"/>
        <w:numPr>
          <w:ilvl w:val="0"/>
          <w:numId w:val="0"/>
        </w:numPr>
        <w:spacing w:before="0" w:after="0"/>
        <w:ind w:left="0" w:firstLine="709"/>
        <w:jc w:val="center"/>
        <w:outlineLvl w:val="2"/>
        <w:rPr>
          <w:b/>
          <w:bCs/>
          <w:color w:val="000000" w:themeColor="text1"/>
        </w:rPr>
      </w:pPr>
      <w:r>
        <w:rPr>
          <w:b/>
          <w:bCs/>
          <w:color w:val="000000" w:themeColor="text1"/>
        </w:rPr>
        <w:t>4. Сведения об обязательствах, в обеспечение исполнения которых вносится задаток</w:t>
      </w:r>
    </w:p>
    <w:p>
      <w:pPr>
        <w:pStyle w:val="Normal"/>
        <w:numPr>
          <w:ilvl w:val="0"/>
          <w:numId w:val="0"/>
        </w:numPr>
        <w:spacing w:before="0" w:after="0"/>
        <w:ind w:left="0" w:firstLine="709"/>
        <w:outlineLvl w:val="2"/>
        <w:rPr>
          <w:color w:val="000000" w:themeColor="text1"/>
        </w:rPr>
      </w:pPr>
      <w:r>
        <w:rPr>
          <w:color w:val="000000" w:themeColor="text1"/>
        </w:rPr>
        <w:t>4.1. Задаток, внесенный в соответствии с пунктом 2.2 Соглашения, обеспечивает исполнение Покупателем следующих обязательств по Договору купли-продажи Имущества:</w:t>
      </w:r>
    </w:p>
    <w:p>
      <w:pPr>
        <w:pStyle w:val="Normal"/>
        <w:numPr>
          <w:ilvl w:val="0"/>
          <w:numId w:val="0"/>
        </w:numPr>
        <w:spacing w:before="0" w:after="0"/>
        <w:ind w:left="0" w:firstLine="709"/>
        <w:outlineLvl w:val="2"/>
        <w:rPr>
          <w:color w:val="000000" w:themeColor="text1"/>
        </w:rPr>
      </w:pPr>
      <w:r>
        <w:rPr>
          <w:color w:val="000000" w:themeColor="text1"/>
        </w:rPr>
        <w:t>4.1.1. Оплатить Имущество в срок и порядке, установленные Договором.</w:t>
      </w:r>
    </w:p>
    <w:p>
      <w:pPr>
        <w:pStyle w:val="Normal"/>
        <w:widowControl w:val="false"/>
        <w:numPr>
          <w:ilvl w:val="0"/>
          <w:numId w:val="0"/>
        </w:numPr>
        <w:spacing w:before="0" w:after="0"/>
        <w:ind w:left="0" w:firstLine="709"/>
        <w:outlineLvl w:val="2"/>
        <w:rPr/>
      </w:pPr>
      <w:r>
        <w:rPr/>
        <w:t>4.1.2. Осуществить государственную регистрацию перехода права собственности на Имущество.</w:t>
      </w:r>
    </w:p>
    <w:p>
      <w:pPr>
        <w:pStyle w:val="Normal"/>
        <w:numPr>
          <w:ilvl w:val="0"/>
          <w:numId w:val="0"/>
        </w:numPr>
        <w:spacing w:before="0" w:after="0"/>
        <w:ind w:left="0" w:firstLine="709"/>
        <w:outlineLvl w:val="2"/>
        <w:rPr>
          <w:rStyle w:val="PlaceholderText"/>
        </w:rPr>
      </w:pPr>
      <w:r>
        <w:rPr/>
      </w:r>
    </w:p>
    <w:p>
      <w:pPr>
        <w:pStyle w:val="Normal"/>
        <w:numPr>
          <w:ilvl w:val="0"/>
          <w:numId w:val="0"/>
        </w:numPr>
        <w:spacing w:before="0" w:after="0"/>
        <w:ind w:left="0" w:firstLine="709"/>
        <w:jc w:val="center"/>
        <w:outlineLvl w:val="2"/>
        <w:rPr>
          <w:b/>
          <w:bCs/>
          <w:color w:val="000000" w:themeColor="text1"/>
        </w:rPr>
      </w:pPr>
      <w:r>
        <w:rPr>
          <w:b/>
          <w:bCs/>
          <w:color w:val="000000" w:themeColor="text1"/>
        </w:rPr>
        <w:t>5. Заключительные положения</w:t>
      </w:r>
    </w:p>
    <w:p>
      <w:pPr>
        <w:pStyle w:val="Normal"/>
        <w:numPr>
          <w:ilvl w:val="0"/>
          <w:numId w:val="0"/>
        </w:numPr>
        <w:spacing w:before="0" w:after="0"/>
        <w:ind w:left="0" w:firstLine="709"/>
        <w:outlineLvl w:val="2"/>
        <w:rPr>
          <w:color w:val="000000" w:themeColor="text1"/>
        </w:rPr>
      </w:pPr>
      <w:r>
        <w:rPr>
          <w:color w:val="000000" w:themeColor="text1"/>
        </w:rPr>
        <w:t xml:space="preserve">5.1. Соглашение вступает в силу с даты его подписания Сторонами и прекращает свое действие после исполнения Сторонами всех обязательств по нему. </w:t>
      </w:r>
    </w:p>
    <w:p>
      <w:pPr>
        <w:pStyle w:val="Normal"/>
        <w:numPr>
          <w:ilvl w:val="0"/>
          <w:numId w:val="0"/>
        </w:numPr>
        <w:spacing w:before="0" w:after="0"/>
        <w:ind w:left="0" w:firstLine="709"/>
        <w:outlineLvl w:val="2"/>
        <w:rPr>
          <w:color w:val="000000" w:themeColor="text1"/>
        </w:rPr>
      </w:pPr>
      <w:r>
        <w:rPr>
          <w:color w:val="000000" w:themeColor="text1"/>
        </w:rPr>
        <w:t xml:space="preserve">5.2. 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Московской области. </w:t>
      </w:r>
    </w:p>
    <w:p>
      <w:pPr>
        <w:pStyle w:val="Normal"/>
        <w:numPr>
          <w:ilvl w:val="0"/>
          <w:numId w:val="0"/>
        </w:numPr>
        <w:spacing w:before="0" w:after="0"/>
        <w:ind w:left="0" w:firstLine="709"/>
        <w:outlineLvl w:val="2"/>
        <w:rPr>
          <w:color w:val="000000" w:themeColor="text1"/>
        </w:rPr>
      </w:pPr>
      <w:r>
        <w:rPr>
          <w:color w:val="000000" w:themeColor="text1"/>
        </w:rPr>
        <w:t xml:space="preserve">5.3. Соглашение является неотъемлемой частью Договора купли-продажи недвижимого имущества от «__» ________ 20__ г. № ________, составлено в 3 (трех) экземплярах, имеющих одинаковую юридическую силу, по 1 (одному) для каждой из Сторон, третий – хранится в делах Управление Федеральной службы государственной регистрации, кадастра и картографии по Московской области. </w:t>
      </w:r>
    </w:p>
    <w:p>
      <w:pPr>
        <w:pStyle w:val="Normal"/>
        <w:spacing w:before="0" w:after="0"/>
        <w:ind w:firstLine="709"/>
        <w:rPr>
          <w:rStyle w:val="PlaceholderText"/>
          <w:color w:val="000000" w:themeColor="text1"/>
        </w:rPr>
      </w:pPr>
      <w:r>
        <w:rPr>
          <w:rStyle w:val="PlaceholderText"/>
          <w:color w:val="000000" w:themeColor="text1"/>
        </w:rPr>
        <w:t>5.4. Во всем ином, что не предусмотрено Соглашением, Стороны руководствуются законодательством Российской Федерации.</w:t>
      </w:r>
    </w:p>
    <w:p>
      <w:pPr>
        <w:pStyle w:val="Normal"/>
        <w:spacing w:before="0" w:after="0"/>
        <w:ind w:firstLine="709"/>
        <w:rPr>
          <w:rStyle w:val="PlaceholderText"/>
          <w:color w:val="000000" w:themeColor="text1"/>
        </w:rPr>
      </w:pPr>
      <w:r>
        <w:rPr>
          <w:color w:val="000000" w:themeColor="text1"/>
        </w:rPr>
      </w:r>
    </w:p>
    <w:tbl>
      <w:tblPr>
        <w:tblW w:w="9723"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960"/>
        <w:gridCol w:w="4762"/>
      </w:tblGrid>
      <w:tr>
        <w:trPr>
          <w:trHeight w:val="401" w:hRule="atLeast"/>
        </w:trPr>
        <w:tc>
          <w:tcPr>
            <w:tcW w:w="4960" w:type="dxa"/>
            <w:tcBorders/>
          </w:tcPr>
          <w:p>
            <w:pPr>
              <w:pStyle w:val="Normal"/>
              <w:widowControl w:val="false"/>
              <w:spacing w:before="0" w:after="0"/>
              <w:rPr/>
            </w:pPr>
            <w:r>
              <w:rPr>
                <w:bCs/>
              </w:rPr>
              <w:t>Продавец:</w:t>
            </w:r>
          </w:p>
        </w:tc>
        <w:tc>
          <w:tcPr>
            <w:tcW w:w="4762" w:type="dxa"/>
            <w:tcBorders/>
          </w:tcPr>
          <w:p>
            <w:pPr>
              <w:pStyle w:val="Normal"/>
              <w:widowControl w:val="false"/>
              <w:snapToGrid w:val="false"/>
              <w:spacing w:before="0" w:after="0"/>
              <w:rPr>
                <w:bCs/>
              </w:rPr>
            </w:pPr>
            <w:r>
              <w:rPr>
                <w:bCs/>
              </w:rPr>
              <w:t>Покупатель:</w:t>
            </w:r>
          </w:p>
        </w:tc>
      </w:tr>
      <w:tr>
        <w:trPr/>
        <w:tc>
          <w:tcPr>
            <w:tcW w:w="4960"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p>
            <w:pPr>
              <w:pStyle w:val="Normal"/>
              <w:widowControl w:val="false"/>
              <w:snapToGrid w:val="false"/>
              <w:spacing w:before="0" w:after="0"/>
              <w:rPr>
                <w:bCs/>
              </w:rPr>
            </w:pPr>
            <w:r>
              <w:rPr>
                <w:bCs/>
              </w:rPr>
            </w:r>
          </w:p>
        </w:tc>
        <w:tc>
          <w:tcPr>
            <w:tcW w:w="4762" w:type="dxa"/>
            <w:tcBorders/>
          </w:tcPr>
          <w:p>
            <w:pPr>
              <w:pStyle w:val="Normal"/>
              <w:widowControl w:val="false"/>
              <w:snapToGrid w:val="false"/>
              <w:spacing w:before="0" w:after="0"/>
              <w:rPr>
                <w:bCs/>
              </w:rPr>
            </w:pPr>
            <w:r>
              <w:rPr>
                <w:bCs/>
              </w:rPr>
              <w:t>__________________</w:t>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r>
          </w:p>
          <w:p>
            <w:pPr>
              <w:pStyle w:val="Normal"/>
              <w:widowControl w:val="false"/>
              <w:snapToGrid w:val="false"/>
              <w:spacing w:before="0" w:after="0"/>
              <w:rPr>
                <w:bCs/>
              </w:rPr>
            </w:pPr>
            <w:r>
              <w:rPr>
                <w:bCs/>
              </w:rPr>
              <w:t>__________________ / ________</w:t>
            </w:r>
          </w:p>
        </w:tc>
      </w:tr>
    </w:tbl>
    <w:p>
      <w:pPr>
        <w:pStyle w:val="Normal"/>
        <w:ind w:firstLine="567"/>
        <w:jc w:val="right"/>
        <w:rPr/>
      </w:pPr>
      <w:r>
        <w:rPr/>
      </w:r>
    </w:p>
    <w:p>
      <w:pPr>
        <w:pStyle w:val="Normal"/>
        <w:jc w:val="left"/>
        <w:rPr>
          <w:sz w:val="24"/>
          <w:szCs w:val="28"/>
        </w:rPr>
      </w:pPr>
      <w:r>
        <w:rPr>
          <w:sz w:val="24"/>
          <w:szCs w:val="28"/>
        </w:rPr>
      </w:r>
    </w:p>
    <w:p>
      <w:pPr>
        <w:pStyle w:val="Heading1"/>
        <w:rPr>
          <w:rFonts w:ascii="Times New Roman" w:hAnsi="Times New Roman"/>
          <w:b w:val="false"/>
          <w:sz w:val="24"/>
          <w:szCs w:val="24"/>
        </w:rPr>
      </w:pPr>
      <w:bookmarkStart w:id="576" w:name="_Toc187829934"/>
      <w:bookmarkStart w:id="577" w:name="_Ref513729886"/>
      <w:r>
        <w:rPr>
          <w:rFonts w:ascii="Times New Roman" w:hAnsi="Times New Roman"/>
          <w:b w:val="false"/>
          <w:sz w:val="24"/>
          <w:szCs w:val="24"/>
        </w:rPr>
        <w:t>Приложение № 3</w:t>
      </w:r>
      <w:bookmarkEnd w:id="576"/>
      <w:bookmarkEnd w:id="577"/>
    </w:p>
    <w:p>
      <w:pPr>
        <w:pStyle w:val="Normal"/>
        <w:jc w:val="center"/>
        <w:rPr>
          <w:b/>
          <w:sz w:val="28"/>
          <w:szCs w:val="28"/>
        </w:rPr>
      </w:pPr>
      <w:r>
        <w:rPr>
          <w:b/>
          <w:sz w:val="28"/>
          <w:szCs w:val="28"/>
        </w:rPr>
      </w:r>
    </w:p>
    <w:p>
      <w:pPr>
        <w:pStyle w:val="Normal"/>
        <w:jc w:val="center"/>
        <w:rPr>
          <w:b/>
          <w:sz w:val="28"/>
          <w:szCs w:val="28"/>
        </w:rPr>
      </w:pPr>
      <w:r>
        <w:rPr>
          <w:b/>
          <w:sz w:val="28"/>
          <w:szCs w:val="28"/>
        </w:rPr>
        <w:t>ТРЕБОВАНИЯ К УЧАСТНИКАМ АУКЦИОНА</w:t>
      </w:r>
    </w:p>
    <w:p>
      <w:pPr>
        <w:pStyle w:val="Normal"/>
        <w:jc w:val="center"/>
        <w:rPr>
          <w:b/>
        </w:rPr>
      </w:pPr>
      <w:r>
        <w:rPr>
          <w:b/>
        </w:rPr>
      </w:r>
    </w:p>
    <w:p>
      <w:pPr>
        <w:pStyle w:val="Normal"/>
        <w:rPr>
          <w:b/>
        </w:rPr>
      </w:pPr>
      <w:r>
        <w:rPr/>
        <w:t xml:space="preserve">Чтобы претендовать на победу в Аукционе и получить право заключить Договор с Продавцом, Участник (Заявитель) должен отвечать нижеуказанным требованиям и в обязательном порядке включить в состав подаваемой Заявки нижеуказанные документы, подтверждающие соответствие установленным Документацией о продаже требованиям: </w:t>
      </w:r>
    </w:p>
    <w:p>
      <w:pPr>
        <w:pStyle w:val="Normal"/>
        <w:jc w:val="center"/>
        <w:rPr>
          <w:b/>
          <w:sz w:val="28"/>
          <w:szCs w:val="28"/>
        </w:rPr>
      </w:pPr>
      <w:bookmarkStart w:id="578" w:name="_Ref524091588"/>
      <w:bookmarkStart w:id="579" w:name="_Ref513729904"/>
      <w:bookmarkStart w:id="580" w:name="_Ref514617948"/>
      <w:bookmarkStart w:id="581" w:name="_Ref513732930"/>
      <w:bookmarkStart w:id="582" w:name="_Toc514805485"/>
      <w:bookmarkStart w:id="583" w:name="_Toc514814130"/>
      <w:r>
        <w:rPr>
          <w:b/>
          <w:sz w:val="28"/>
          <w:szCs w:val="28"/>
        </w:rPr>
        <w:t>Требования</w:t>
      </w:r>
      <w:bookmarkEnd w:id="579"/>
      <w:bookmarkEnd w:id="580"/>
      <w:bookmarkEnd w:id="581"/>
      <w:bookmarkEnd w:id="582"/>
      <w:bookmarkEnd w:id="583"/>
      <w:r>
        <w:rPr>
          <w:b/>
          <w:sz w:val="28"/>
          <w:szCs w:val="28"/>
        </w:rPr>
        <w:t xml:space="preserve"> к Участнику и к документам, подтверждающим соответствие Участника установленным требованиям</w:t>
      </w:r>
      <w:bookmarkEnd w:id="578"/>
    </w:p>
    <w:tbl>
      <w:tblPr>
        <w:tblW w:w="10087"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649"/>
        <w:gridCol w:w="3114"/>
        <w:gridCol w:w="6324"/>
      </w:tblGrid>
      <w:tr>
        <w:trPr>
          <w:tblHeader w:val="true"/>
        </w:trPr>
        <w:tc>
          <w:tcPr>
            <w:tcW w:w="64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b/>
              </w:rPr>
            </w:pPr>
            <w:r>
              <w:rPr>
                <w:b/>
              </w:rPr>
              <w:t xml:space="preserve">№ </w:t>
            </w:r>
            <w:r>
              <w:rPr>
                <w:b/>
              </w:rPr>
              <w:t>п/п</w:t>
            </w:r>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b/>
              </w:rPr>
            </w:pPr>
            <w:r>
              <w:rPr>
                <w:b/>
              </w:rPr>
              <w:t>Требования к Участнику</w:t>
            </w:r>
          </w:p>
        </w:tc>
        <w:tc>
          <w:tcPr>
            <w:tcW w:w="63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b/>
              </w:rPr>
            </w:pPr>
            <w:r>
              <w:rPr>
                <w:b/>
              </w:rPr>
              <w:t>Требования к документам, подтверждающим соответствие Участника установленным требованиям</w:t>
            </w:r>
          </w:p>
        </w:tc>
      </w:tr>
      <w:tr>
        <w:trPr>
          <w:trHeight w:val="11783" w:hRule="atLeast"/>
        </w:trPr>
        <w:tc>
          <w:tcPr>
            <w:tcW w:w="649"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6"/>
              </w:numPr>
              <w:spacing w:before="120" w:after="0"/>
              <w:ind w:left="284" w:hanging="295"/>
              <w:contextualSpacing/>
              <w:rPr>
                <w:sz w:val="26"/>
              </w:rPr>
            </w:pPr>
            <w:r>
              <w:rPr>
                <w:sz w:val="26"/>
              </w:rPr>
            </w:r>
            <w:bookmarkStart w:id="584" w:name="_Ref513735397"/>
            <w:bookmarkStart w:id="585" w:name="_Ref513735397"/>
            <w:bookmarkEnd w:id="585"/>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pPr>
            <w:r>
              <w:rPr/>
              <w:t>Участник должен 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tc>
        <w:tc>
          <w:tcPr>
            <w:tcW w:w="63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b/>
                <w:u w:val="single"/>
              </w:rPr>
            </w:pPr>
            <w:bookmarkStart w:id="586" w:name="_Ref513814605"/>
            <w:r>
              <w:rPr>
                <w:b/>
                <w:u w:val="single"/>
              </w:rPr>
              <w:t>Участник – физическое лицо</w:t>
            </w:r>
            <w:bookmarkEnd w:id="586"/>
          </w:p>
          <w:p>
            <w:pPr>
              <w:pStyle w:val="Style27"/>
              <w:widowControl w:val="false"/>
              <w:numPr>
                <w:ilvl w:val="4"/>
                <w:numId w:val="57"/>
              </w:numPr>
              <w:tabs>
                <w:tab w:val="clear" w:pos="567"/>
                <w:tab w:val="left" w:pos="1134" w:leader="none"/>
                <w:tab w:val="left" w:pos="4542" w:leader="none"/>
              </w:tabs>
              <w:ind w:left="715" w:hanging="567"/>
              <w:rPr/>
            </w:pPr>
            <w:r>
              <w:rPr/>
              <w:t>заверенные копии документов, удостоверяющих личность (все заполненные страницы);</w:t>
            </w:r>
          </w:p>
          <w:p>
            <w:pPr>
              <w:pStyle w:val="Style27"/>
              <w:widowControl w:val="false"/>
              <w:numPr>
                <w:ilvl w:val="4"/>
                <w:numId w:val="58"/>
              </w:numPr>
              <w:tabs>
                <w:tab w:val="clear" w:pos="567"/>
                <w:tab w:val="left" w:pos="4542" w:leader="none"/>
              </w:tabs>
              <w:ind w:left="715" w:hanging="567"/>
              <w:rPr/>
            </w:pPr>
            <w:r>
              <w:rPr/>
              <w:t>заверенная копия свидетельства о присвоении ИНН (при наличии);</w:t>
            </w:r>
          </w:p>
          <w:p>
            <w:pPr>
              <w:pStyle w:val="Style27"/>
              <w:widowControl w:val="false"/>
              <w:numPr>
                <w:ilvl w:val="4"/>
                <w:numId w:val="59"/>
              </w:numPr>
              <w:tabs>
                <w:tab w:val="clear" w:pos="567"/>
                <w:tab w:val="left" w:pos="4542" w:leader="none"/>
              </w:tabs>
              <w:ind w:left="715" w:hanging="567"/>
              <w:rPr/>
            </w:pPr>
            <w:r>
              <w:rPr/>
              <w:t>согласие антимонопольного органа на приобретение имущества, если это необходимо в соответствии с законодательством РФ;</w:t>
            </w:r>
          </w:p>
          <w:p>
            <w:pPr>
              <w:pStyle w:val="Style27"/>
              <w:widowControl w:val="false"/>
              <w:numPr>
                <w:ilvl w:val="0"/>
                <w:numId w:val="0"/>
              </w:numPr>
              <w:tabs>
                <w:tab w:val="clear" w:pos="567"/>
                <w:tab w:val="left" w:pos="4542" w:leader="none"/>
              </w:tabs>
              <w:ind w:left="715" w:hanging="0"/>
              <w:rPr/>
            </w:pPr>
            <w:r>
              <w:rPr/>
            </w:r>
          </w:p>
          <w:p>
            <w:pPr>
              <w:pStyle w:val="Normal"/>
              <w:widowControl w:val="false"/>
              <w:rPr>
                <w:b/>
                <w:u w:val="single"/>
              </w:rPr>
            </w:pPr>
            <w:r>
              <w:rPr>
                <w:b/>
                <w:u w:val="single"/>
              </w:rPr>
              <w:t>Участник – юридическое лицо (резидент РФ)</w:t>
            </w:r>
          </w:p>
          <w:p>
            <w:pPr>
              <w:pStyle w:val="Style27"/>
              <w:widowControl w:val="false"/>
              <w:numPr>
                <w:ilvl w:val="4"/>
                <w:numId w:val="60"/>
              </w:numPr>
              <w:tabs>
                <w:tab w:val="clear" w:pos="567"/>
                <w:tab w:val="left" w:pos="4542" w:leader="none"/>
              </w:tabs>
              <w:ind w:left="715" w:hanging="567"/>
              <w:rPr/>
            </w:pPr>
            <w:r>
              <w:rPr/>
              <w:t>выписка из Единого государственного реестра юридических лиц, полученная не ранее чем за 30 (тридцать) календарных дней до даты предъявления;</w:t>
            </w:r>
          </w:p>
          <w:p>
            <w:pPr>
              <w:pStyle w:val="Style27"/>
              <w:widowControl w:val="false"/>
              <w:numPr>
                <w:ilvl w:val="4"/>
                <w:numId w:val="61"/>
              </w:numPr>
              <w:tabs>
                <w:tab w:val="clear" w:pos="567"/>
                <w:tab w:val="left" w:pos="4542" w:leader="none"/>
              </w:tabs>
              <w:ind w:left="715" w:hanging="567"/>
              <w:rPr/>
            </w:pPr>
            <w:r>
              <w:rPr/>
              <w:t>заверенные копии свидетельства о государственной регистрации юридического лица (ОГРН) и свидетельства о постановки на налоговый учет (ИНН);</w:t>
            </w:r>
          </w:p>
          <w:p>
            <w:pPr>
              <w:pStyle w:val="Style27"/>
              <w:widowControl w:val="false"/>
              <w:numPr>
                <w:ilvl w:val="4"/>
                <w:numId w:val="62"/>
              </w:numPr>
              <w:tabs>
                <w:tab w:val="clear" w:pos="567"/>
                <w:tab w:val="left" w:pos="4542" w:leader="none"/>
              </w:tabs>
              <w:ind w:left="715" w:hanging="567"/>
              <w:rPr/>
            </w:pPr>
            <w:r>
              <w:rPr/>
              <w:t>заверенные копии учредительных документов юридического лица в действующей редакции со всеми изменениями и дополнениями, зарегистрированными в установленном порядке;</w:t>
            </w:r>
          </w:p>
          <w:p>
            <w:pPr>
              <w:pStyle w:val="Style27"/>
              <w:widowControl w:val="false"/>
              <w:numPr>
                <w:ilvl w:val="4"/>
                <w:numId w:val="63"/>
              </w:numPr>
              <w:tabs>
                <w:tab w:val="clear" w:pos="567"/>
                <w:tab w:val="left" w:pos="4542" w:leader="none"/>
              </w:tabs>
              <w:ind w:left="715" w:hanging="567"/>
              <w:rPr/>
            </w:pPr>
            <w:r>
              <w:rPr/>
              <w:t>заверенные копии документов, подтверждающих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pPr>
              <w:pStyle w:val="Style27"/>
              <w:widowControl w:val="false"/>
              <w:numPr>
                <w:ilvl w:val="4"/>
                <w:numId w:val="64"/>
              </w:numPr>
              <w:tabs>
                <w:tab w:val="clear" w:pos="567"/>
                <w:tab w:val="left" w:pos="4542" w:leader="none"/>
              </w:tabs>
              <w:ind w:left="715" w:hanging="567"/>
              <w:rPr/>
            </w:pPr>
            <w:r>
              <w:rPr/>
              <w:t>доверенность (в случае, если заявка, иные предусмотренные настоящим Положением документы юридического лица,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pPr>
              <w:pStyle w:val="Style27"/>
              <w:widowControl w:val="false"/>
              <w:numPr>
                <w:ilvl w:val="4"/>
                <w:numId w:val="65"/>
              </w:numPr>
              <w:tabs>
                <w:tab w:val="clear" w:pos="567"/>
                <w:tab w:val="left" w:pos="4542" w:leader="none"/>
              </w:tabs>
              <w:ind w:left="715" w:hanging="567"/>
              <w:rPr/>
            </w:pPr>
            <w:r>
              <w:rPr/>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pPr>
              <w:pStyle w:val="Style27"/>
              <w:widowControl w:val="false"/>
              <w:numPr>
                <w:ilvl w:val="4"/>
                <w:numId w:val="66"/>
              </w:numPr>
              <w:tabs>
                <w:tab w:val="clear" w:pos="567"/>
                <w:tab w:val="left" w:pos="4542" w:leader="none"/>
              </w:tabs>
              <w:ind w:left="715" w:hanging="567"/>
              <w:rPr/>
            </w:pPr>
            <w:r>
              <w:rPr/>
              <w:t>согласие антимонопольного органа на приобретение имущества, если это необходимо в соответствии с законодательством РФ;</w:t>
            </w:r>
          </w:p>
          <w:p>
            <w:pPr>
              <w:pStyle w:val="Style27"/>
              <w:widowControl w:val="false"/>
              <w:numPr>
                <w:ilvl w:val="0"/>
                <w:numId w:val="0"/>
              </w:numPr>
              <w:tabs>
                <w:tab w:val="clear" w:pos="567"/>
                <w:tab w:val="left" w:pos="4542" w:leader="none"/>
              </w:tabs>
              <w:ind w:left="715" w:hanging="0"/>
              <w:rPr/>
            </w:pPr>
            <w:r>
              <w:rPr/>
            </w:r>
          </w:p>
          <w:p>
            <w:pPr>
              <w:pStyle w:val="Style27"/>
              <w:widowControl w:val="false"/>
              <w:numPr>
                <w:ilvl w:val="0"/>
                <w:numId w:val="0"/>
              </w:numPr>
              <w:ind w:left="148" w:hanging="0"/>
              <w:rPr>
                <w:b/>
                <w:u w:val="single"/>
              </w:rPr>
            </w:pPr>
            <w:r>
              <w:rPr>
                <w:b/>
                <w:u w:val="single"/>
              </w:rPr>
              <w:t>Участник – юридическое лицо (нерезидент РФ, не имеющий обособленных подразделений (филиал, представительство и т.п.) на территории РФ)</w:t>
            </w:r>
          </w:p>
          <w:p>
            <w:pPr>
              <w:pStyle w:val="Style27"/>
              <w:widowControl w:val="false"/>
              <w:numPr>
                <w:ilvl w:val="4"/>
                <w:numId w:val="67"/>
              </w:numPr>
              <w:tabs>
                <w:tab w:val="clear" w:pos="567"/>
                <w:tab w:val="left" w:pos="4542" w:leader="none"/>
              </w:tabs>
              <w:ind w:left="715" w:hanging="567"/>
              <w:rPr/>
            </w:pPr>
            <w:r>
              <w:rPr/>
              <w:t>нотариально заверенная копия устава иностранного юридического лица;</w:t>
            </w:r>
          </w:p>
          <w:p>
            <w:pPr>
              <w:pStyle w:val="Style27"/>
              <w:widowControl w:val="false"/>
              <w:numPr>
                <w:ilvl w:val="4"/>
                <w:numId w:val="68"/>
              </w:numPr>
              <w:tabs>
                <w:tab w:val="clear" w:pos="567"/>
                <w:tab w:val="left" w:pos="4542" w:leader="none"/>
              </w:tabs>
              <w:ind w:left="715" w:hanging="567"/>
              <w:rPr/>
            </w:pPr>
            <w:r>
              <w:rP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pPr>
              <w:pStyle w:val="Style27"/>
              <w:widowControl w:val="false"/>
              <w:numPr>
                <w:ilvl w:val="4"/>
                <w:numId w:val="69"/>
              </w:numPr>
              <w:tabs>
                <w:tab w:val="clear" w:pos="567"/>
                <w:tab w:val="left" w:pos="4542" w:leader="none"/>
              </w:tabs>
              <w:ind w:left="715" w:hanging="567"/>
              <w:rPr/>
            </w:pPr>
            <w:r>
              <w:rPr/>
              <w:t>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апостилем,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pPr>
              <w:pStyle w:val="Style27"/>
              <w:widowControl w:val="false"/>
              <w:numPr>
                <w:ilvl w:val="4"/>
                <w:numId w:val="70"/>
              </w:numPr>
              <w:tabs>
                <w:tab w:val="clear" w:pos="567"/>
                <w:tab w:val="left" w:pos="4542" w:leader="none"/>
              </w:tabs>
              <w:ind w:left="715" w:hanging="567"/>
              <w:rPr/>
            </w:pPr>
            <w:r>
              <w:rPr/>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pPr>
              <w:pStyle w:val="Style27"/>
              <w:widowControl w:val="false"/>
              <w:numPr>
                <w:ilvl w:val="4"/>
                <w:numId w:val="71"/>
              </w:numPr>
              <w:tabs>
                <w:tab w:val="clear" w:pos="567"/>
                <w:tab w:val="left" w:pos="4542" w:leader="none"/>
              </w:tabs>
              <w:ind w:left="715" w:hanging="567"/>
              <w:rPr/>
            </w:pPr>
            <w:r>
              <w:rPr/>
              <w:t>согласие антимонопольного органа на приобретение имущества, если это необходимо в соответствии с законодательством РФ;</w:t>
            </w:r>
          </w:p>
          <w:p>
            <w:pPr>
              <w:pStyle w:val="Style27"/>
              <w:widowControl w:val="false"/>
              <w:numPr>
                <w:ilvl w:val="0"/>
                <w:numId w:val="0"/>
              </w:numPr>
              <w:ind w:left="148" w:hanging="0"/>
              <w:rPr>
                <w:b/>
                <w:u w:val="single"/>
              </w:rPr>
            </w:pPr>
            <w:r>
              <w:rPr>
                <w:b/>
                <w:u w:val="single"/>
              </w:rPr>
              <w:t>Участник – юридическое лицо (нерезидент РФ, имеющий обособленные подразделения (филиал, представительство и т.п.) на территории РФ)</w:t>
            </w:r>
          </w:p>
          <w:p>
            <w:pPr>
              <w:pStyle w:val="Style27"/>
              <w:widowControl w:val="false"/>
              <w:numPr>
                <w:ilvl w:val="4"/>
                <w:numId w:val="72"/>
              </w:numPr>
              <w:tabs>
                <w:tab w:val="clear" w:pos="567"/>
                <w:tab w:val="left" w:pos="4542" w:leader="none"/>
              </w:tabs>
              <w:ind w:left="715" w:hanging="567"/>
              <w:rPr/>
            </w:pPr>
            <w:r>
              <w:rPr/>
              <w:t>нотариально заверенная копия устава иностранного юридического лица;</w:t>
            </w:r>
          </w:p>
          <w:p>
            <w:pPr>
              <w:pStyle w:val="Style27"/>
              <w:widowControl w:val="false"/>
              <w:numPr>
                <w:ilvl w:val="4"/>
                <w:numId w:val="73"/>
              </w:numPr>
              <w:tabs>
                <w:tab w:val="clear" w:pos="567"/>
                <w:tab w:val="left" w:pos="4542" w:leader="none"/>
              </w:tabs>
              <w:ind w:left="715" w:hanging="567"/>
              <w:rPr/>
            </w:pPr>
            <w:r>
              <w:rPr/>
              <w:t>нотариально заверенная копия свидетельства о регистрации иностранного юридического лица или выписка из торгового реестра, либо сертификат об инкорпорации;</w:t>
            </w:r>
          </w:p>
          <w:p>
            <w:pPr>
              <w:pStyle w:val="Style27"/>
              <w:widowControl w:val="false"/>
              <w:numPr>
                <w:ilvl w:val="4"/>
                <w:numId w:val="74"/>
              </w:numPr>
              <w:tabs>
                <w:tab w:val="clear" w:pos="567"/>
                <w:tab w:val="left" w:pos="4542" w:leader="none"/>
              </w:tabs>
              <w:ind w:left="715" w:hanging="567"/>
              <w:rPr/>
            </w:pPr>
            <w:r>
              <w:rPr/>
              <w:t>нотариально заверенная копия свидетельства о внесении в сводный государственный реестр аккредитованных на территории РФ представительств иностранных компаний;</w:t>
            </w:r>
          </w:p>
          <w:p>
            <w:pPr>
              <w:pStyle w:val="Style27"/>
              <w:widowControl w:val="false"/>
              <w:numPr>
                <w:ilvl w:val="4"/>
                <w:numId w:val="75"/>
              </w:numPr>
              <w:tabs>
                <w:tab w:val="clear" w:pos="567"/>
                <w:tab w:val="left" w:pos="4542" w:leader="none"/>
              </w:tabs>
              <w:ind w:left="715" w:hanging="567"/>
              <w:rPr/>
            </w:pPr>
            <w:r>
              <w:rPr/>
              <w:t>нотариально заверенная копия разрешения Торгово-промышленной палаты на открытие в РФ представительства иностранной компании (при наличии);</w:t>
            </w:r>
          </w:p>
          <w:p>
            <w:pPr>
              <w:pStyle w:val="Style27"/>
              <w:widowControl w:val="false"/>
              <w:numPr>
                <w:ilvl w:val="4"/>
                <w:numId w:val="76"/>
              </w:numPr>
              <w:tabs>
                <w:tab w:val="clear" w:pos="567"/>
                <w:tab w:val="left" w:pos="4542" w:leader="none"/>
              </w:tabs>
              <w:ind w:left="715" w:hanging="567"/>
              <w:rPr/>
            </w:pPr>
            <w:r>
              <w:rPr/>
              <w:t>нотариально заверенная копия положения о филиале, представительстве и т.п. иностранного юридического лица;</w:t>
            </w:r>
          </w:p>
          <w:p>
            <w:pPr>
              <w:pStyle w:val="Style27"/>
              <w:widowControl w:val="false"/>
              <w:numPr>
                <w:ilvl w:val="4"/>
                <w:numId w:val="77"/>
              </w:numPr>
              <w:tabs>
                <w:tab w:val="clear" w:pos="567"/>
                <w:tab w:val="left" w:pos="4542" w:leader="none"/>
              </w:tabs>
              <w:ind w:left="715" w:hanging="567"/>
              <w:rPr/>
            </w:pPr>
            <w:r>
              <w:rPr/>
              <w:t>нотариально заверенная копия свидетельства о постановке на учет в налоговом органе Российской Федерации;</w:t>
            </w:r>
          </w:p>
          <w:p>
            <w:pPr>
              <w:pStyle w:val="Style27"/>
              <w:widowControl w:val="false"/>
              <w:numPr>
                <w:ilvl w:val="4"/>
                <w:numId w:val="78"/>
              </w:numPr>
              <w:tabs>
                <w:tab w:val="clear" w:pos="567"/>
                <w:tab w:val="left" w:pos="4542" w:leader="none"/>
              </w:tabs>
              <w:ind w:left="715" w:hanging="567"/>
              <w:rPr/>
            </w:pPr>
            <w:r>
              <w:rPr/>
              <w:t>документ, подтверждающий полномочия представителя, в том числе доверенность, выданная иностранным юридическим лицом, с отметкой о легализации консульским учреждением Российской Федерации либо заверенные апостилем, если освобождение от этих процедур не предусмотрено международными договорами Российской Федерации, с переводом на русский язык, заверенным в нотариальном порядке или консульским учреждением;</w:t>
            </w:r>
          </w:p>
          <w:p>
            <w:pPr>
              <w:pStyle w:val="Style27"/>
              <w:widowControl w:val="false"/>
              <w:numPr>
                <w:ilvl w:val="4"/>
                <w:numId w:val="79"/>
              </w:numPr>
              <w:tabs>
                <w:tab w:val="clear" w:pos="567"/>
                <w:tab w:val="left" w:pos="4542" w:leader="none"/>
              </w:tabs>
              <w:ind w:left="715" w:hanging="567"/>
              <w:rPr/>
            </w:pPr>
            <w:r>
              <w:rPr/>
              <w:t>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pPr>
              <w:pStyle w:val="Style27"/>
              <w:widowControl w:val="false"/>
              <w:numPr>
                <w:ilvl w:val="4"/>
                <w:numId w:val="80"/>
              </w:numPr>
              <w:tabs>
                <w:tab w:val="clear" w:pos="567"/>
                <w:tab w:val="left" w:pos="4542" w:leader="none"/>
              </w:tabs>
              <w:ind w:left="715" w:hanging="567"/>
              <w:rPr/>
            </w:pPr>
            <w:r>
              <w:rPr/>
              <w:t>согласие антимонопольного органа на приобретение имущества, если это необходимо в соответствии с законодательством РФ;</w:t>
            </w:r>
          </w:p>
          <w:p>
            <w:pPr>
              <w:pStyle w:val="Style27"/>
              <w:widowControl w:val="false"/>
              <w:numPr>
                <w:ilvl w:val="0"/>
                <w:numId w:val="0"/>
              </w:numPr>
              <w:ind w:left="148" w:hanging="0"/>
              <w:rPr>
                <w:b/>
                <w:u w:val="single"/>
              </w:rPr>
            </w:pPr>
            <w:r>
              <w:rPr>
                <w:b/>
                <w:u w:val="single"/>
              </w:rPr>
              <w:t>Участник – индивидуальный предприниматель</w:t>
            </w:r>
          </w:p>
          <w:p>
            <w:pPr>
              <w:pStyle w:val="Style27"/>
              <w:widowControl w:val="false"/>
              <w:numPr>
                <w:ilvl w:val="4"/>
                <w:numId w:val="81"/>
              </w:numPr>
              <w:tabs>
                <w:tab w:val="clear" w:pos="567"/>
                <w:tab w:val="left" w:pos="4542" w:leader="none"/>
              </w:tabs>
              <w:ind w:left="715" w:hanging="567"/>
              <w:rPr/>
            </w:pPr>
            <w:r>
              <w:rPr/>
              <w:t>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pPr>
              <w:pStyle w:val="Style27"/>
              <w:widowControl w:val="false"/>
              <w:numPr>
                <w:ilvl w:val="4"/>
                <w:numId w:val="82"/>
              </w:numPr>
              <w:tabs>
                <w:tab w:val="clear" w:pos="567"/>
                <w:tab w:val="left" w:pos="4542" w:leader="none"/>
              </w:tabs>
              <w:ind w:left="715" w:hanging="567"/>
              <w:rPr/>
            </w:pPr>
            <w:r>
              <w:rPr/>
              <w:t>заверенная копия свидетельства о регистрации физического лица в качестве индивидуального предпринимателя;</w:t>
            </w:r>
          </w:p>
          <w:p>
            <w:pPr>
              <w:pStyle w:val="Style27"/>
              <w:widowControl w:val="false"/>
              <w:numPr>
                <w:ilvl w:val="4"/>
                <w:numId w:val="83"/>
              </w:numPr>
              <w:tabs>
                <w:tab w:val="clear" w:pos="567"/>
                <w:tab w:val="left" w:pos="4542" w:leader="none"/>
              </w:tabs>
              <w:ind w:left="715" w:hanging="567"/>
              <w:rPr/>
            </w:pPr>
            <w:r>
              <w:rPr/>
              <w:t>заверенная копия документа, удостоверяющего личность (все заполненные страницы);</w:t>
            </w:r>
          </w:p>
          <w:p>
            <w:pPr>
              <w:pStyle w:val="Style27"/>
              <w:widowControl w:val="false"/>
              <w:numPr>
                <w:ilvl w:val="4"/>
                <w:numId w:val="84"/>
              </w:numPr>
              <w:tabs>
                <w:tab w:val="clear" w:pos="567"/>
                <w:tab w:val="left" w:pos="4542" w:leader="none"/>
              </w:tabs>
              <w:ind w:left="715" w:hanging="567"/>
              <w:rPr/>
            </w:pPr>
            <w:r>
              <w:rPr/>
              <w:t>нотариально оформленное согласие супруга на совершение сделки по приобретению имущества (при наличии зарегистрированного брака);</w:t>
            </w:r>
          </w:p>
          <w:p>
            <w:pPr>
              <w:pStyle w:val="Style27"/>
              <w:widowControl w:val="false"/>
              <w:numPr>
                <w:ilvl w:val="4"/>
                <w:numId w:val="85"/>
              </w:numPr>
              <w:tabs>
                <w:tab w:val="clear" w:pos="567"/>
                <w:tab w:val="left" w:pos="4542" w:leader="none"/>
              </w:tabs>
              <w:ind w:left="715" w:hanging="567"/>
              <w:rPr/>
            </w:pPr>
            <w:r>
              <w:rPr/>
              <w:t>согласие антимонопольного органа на приобретение имущества, если это необходимо в соответствии с законодательством РФ;</w:t>
            </w:r>
          </w:p>
          <w:p>
            <w:pPr>
              <w:pStyle w:val="Style27"/>
              <w:widowControl w:val="false"/>
              <w:numPr>
                <w:ilvl w:val="0"/>
                <w:numId w:val="0"/>
              </w:numPr>
              <w:tabs>
                <w:tab w:val="clear" w:pos="567"/>
                <w:tab w:val="left" w:pos="4542" w:leader="none"/>
              </w:tabs>
              <w:ind w:left="715" w:hanging="0"/>
              <w:rPr/>
            </w:pPr>
            <w:r>
              <w:rPr/>
            </w:r>
          </w:p>
        </w:tc>
      </w:tr>
      <w:tr>
        <w:trPr/>
        <w:tc>
          <w:tcPr>
            <w:tcW w:w="649"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6"/>
              </w:numPr>
              <w:spacing w:before="120" w:after="0"/>
              <w:ind w:left="284" w:hanging="295"/>
              <w:contextualSpacing/>
              <w:rPr>
                <w:sz w:val="26"/>
              </w:rPr>
            </w:pPr>
            <w:r>
              <w:rPr>
                <w:sz w:val="26"/>
              </w:rPr>
            </w:r>
            <w:bookmarkStart w:id="587" w:name="_Ref514624336"/>
            <w:bookmarkStart w:id="588" w:name="_Ref514624336"/>
            <w:bookmarkEnd w:id="588"/>
          </w:p>
        </w:tc>
        <w:tc>
          <w:tcPr>
            <w:tcW w:w="311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pPr>
            <w:r>
              <w:rPr/>
              <w:t>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деятельность Участника не должна быть приостановлена в порядке, предусмотренном Кодексом об административных правонарушениях РФ.</w:t>
            </w:r>
          </w:p>
        </w:tc>
        <w:tc>
          <w:tcPr>
            <w:tcW w:w="63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pPr>
            <w:r>
              <w:rPr/>
              <w:t xml:space="preserve">Декларация о соответствии Участника аукциона данному требованию в составе Заявки на участие в аукционе (подраздел </w:t>
            </w:r>
            <w:r>
              <w:rPr/>
              <w:fldChar w:fldCharType="begin"/>
            </w:r>
            <w:r>
              <w:rPr/>
              <w:instrText xml:space="preserve"> REF _Ref55336310 \r \h </w:instrText>
            </w:r>
            <w:r>
              <w:rPr/>
              <w:fldChar w:fldCharType="separate"/>
            </w:r>
            <w:r>
              <w:rPr/>
              <w:t>8.2</w:t>
            </w:r>
            <w:r>
              <w:rPr/>
              <w:fldChar w:fldCharType="end"/>
            </w:r>
            <w:r>
              <w:rPr/>
              <w:t>).</w:t>
            </w:r>
          </w:p>
        </w:tc>
      </w:tr>
    </w:tbl>
    <w:p>
      <w:pPr>
        <w:pStyle w:val="Normal"/>
        <w:ind w:firstLine="567"/>
        <w:rPr/>
      </w:pPr>
      <w:bookmarkStart w:id="589" w:name="_Toc515659399"/>
      <w:bookmarkStart w:id="590" w:name="_Toc515659391"/>
      <w:bookmarkEnd w:id="589"/>
      <w:bookmarkEnd w:id="590"/>
      <w:r>
        <w:rPr/>
        <w:t>В случае если по каким-либо причинам Участник не может предоставить какой-либо из требуемых документов, допускается приложение в составе Заявки составленной в произвольной форме справки, объясняющей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Heading1"/>
        <w:rPr>
          <w:rFonts w:ascii="Times New Roman" w:hAnsi="Times New Roman"/>
          <w:b w:val="false"/>
          <w:sz w:val="24"/>
          <w:szCs w:val="24"/>
        </w:rPr>
      </w:pPr>
      <w:bookmarkStart w:id="591" w:name="_Toc187829935"/>
      <w:bookmarkStart w:id="592" w:name="_Ref526935885"/>
      <w:r>
        <w:rPr>
          <w:rFonts w:ascii="Times New Roman" w:hAnsi="Times New Roman"/>
          <w:b w:val="false"/>
          <w:sz w:val="24"/>
          <w:szCs w:val="24"/>
        </w:rPr>
        <w:t>Приложение № 4</w:t>
      </w:r>
      <w:bookmarkEnd w:id="591"/>
      <w:bookmarkEnd w:id="592"/>
    </w:p>
    <w:p>
      <w:pPr>
        <w:pStyle w:val="Style25"/>
        <w:numPr>
          <w:ilvl w:val="0"/>
          <w:numId w:val="0"/>
        </w:numPr>
        <w:ind w:left="0" w:hanging="0"/>
        <w:rPr/>
      </w:pPr>
      <w:r>
        <w:rPr/>
      </w:r>
    </w:p>
    <w:p>
      <w:pPr>
        <w:pStyle w:val="Style25"/>
        <w:numPr>
          <w:ilvl w:val="0"/>
          <w:numId w:val="0"/>
        </w:numPr>
        <w:ind w:left="0" w:hanging="0"/>
        <w:jc w:val="center"/>
        <w:rPr>
          <w:b/>
        </w:rPr>
      </w:pPr>
      <w:r>
        <w:rPr>
          <w:b/>
          <w:sz w:val="28"/>
          <w:szCs w:val="28"/>
        </w:rPr>
        <w:t>СОСТАВ ЗАЯВКИ НА УЧАСТИЕ В АУКЦИОНЕ</w:t>
      </w:r>
    </w:p>
    <w:p>
      <w:pPr>
        <w:pStyle w:val="Style25"/>
        <w:numPr>
          <w:ilvl w:val="0"/>
          <w:numId w:val="0"/>
        </w:numPr>
        <w:ind w:left="0" w:hanging="0"/>
        <w:rPr/>
      </w:pPr>
      <w:r>
        <w:rPr/>
      </w:r>
    </w:p>
    <w:p>
      <w:pPr>
        <w:pStyle w:val="Style25"/>
        <w:numPr>
          <w:ilvl w:val="0"/>
          <w:numId w:val="0"/>
        </w:numPr>
        <w:ind w:left="0" w:hanging="0"/>
        <w:rPr/>
      </w:pPr>
      <w:r>
        <w:rPr/>
        <w:t xml:space="preserve">Заявка на участие в Аукционе должна содержать следующий комплект документов с учетом требований подраздела </w:t>
      </w:r>
      <w:r>
        <w:rPr/>
        <w:fldChar w:fldCharType="begin"/>
      </w:r>
      <w:r>
        <w:rPr/>
        <w:instrText xml:space="preserve"> REF _Ref514607557 \r \h </w:instrText>
      </w:r>
      <w:r>
        <w:rPr/>
        <w:fldChar w:fldCharType="separate"/>
      </w:r>
      <w:r>
        <w:rPr/>
        <w:t>5.5</w:t>
      </w:r>
      <w:r>
        <w:rPr/>
        <w:fldChar w:fldCharType="end"/>
      </w:r>
      <w:r>
        <w:rPr/>
        <w:t>, а также иных условий Документации о продаже:</w:t>
      </w:r>
    </w:p>
    <w:p>
      <w:pPr>
        <w:pStyle w:val="BodyText"/>
        <w:rPr>
          <w:b/>
          <w:bCs/>
        </w:rPr>
      </w:pPr>
      <w:bookmarkStart w:id="593" w:name="_Ref524092269"/>
      <w:r>
        <w:rPr>
          <w:b/>
          <w:bCs/>
        </w:rPr>
        <w:t>Состав Заявки на участие в Аукционе</w:t>
      </w:r>
      <w:bookmarkEnd w:id="593"/>
      <w:r>
        <w:rPr>
          <w:b/>
          <w:bCs/>
        </w:rPr>
        <w:t>:</w:t>
      </w:r>
    </w:p>
    <w:tbl>
      <w:tblPr>
        <w:tblW w:w="10206"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994"/>
        <w:gridCol w:w="9211"/>
      </w:tblGrid>
      <w:tr>
        <w:trPr>
          <w:trHeight w:val="322" w:hRule="atLeast"/>
        </w:trPr>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left"/>
              <w:rPr>
                <w:bCs/>
              </w:rPr>
            </w:pPr>
            <w:r>
              <w:rPr>
                <w:bCs/>
              </w:rPr>
              <w:t xml:space="preserve">№ </w:t>
            </w:r>
            <w:r>
              <w:rPr>
                <w:bCs/>
              </w:rPr>
              <w:t>п/п</w:t>
            </w:r>
          </w:p>
        </w:tc>
        <w:tc>
          <w:tcPr>
            <w:tcW w:w="92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bCs/>
                <w:iCs/>
              </w:rPr>
            </w:pPr>
            <w:r>
              <w:rPr>
                <w:bCs/>
                <w:iCs/>
              </w:rPr>
              <w:t>Наименование документа</w:t>
            </w:r>
          </w:p>
        </w:tc>
      </w:tr>
      <w:tr>
        <w:trPr>
          <w:trHeight w:val="322" w:hRule="atLeast"/>
        </w:trPr>
        <w:tc>
          <w:tcPr>
            <w:tcW w:w="99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spacing w:before="120" w:after="0"/>
              <w:ind w:left="0" w:hanging="0"/>
              <w:contextualSpacing/>
              <w:jc w:val="center"/>
              <w:rPr>
                <w:rFonts w:ascii="Times New Roman" w:hAnsi="Times New Roman"/>
                <w:bCs/>
                <w:sz w:val="26"/>
              </w:rPr>
            </w:pPr>
            <w:r>
              <w:rPr>
                <w:rFonts w:ascii="Times New Roman" w:hAnsi="Times New Roman"/>
                <w:bCs/>
                <w:sz w:val="26"/>
              </w:rPr>
            </w:r>
          </w:p>
        </w:tc>
        <w:tc>
          <w:tcPr>
            <w:tcW w:w="92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b/>
                <w:bCs/>
              </w:rPr>
            </w:pPr>
            <w:r>
              <w:rPr/>
              <w:fldChar w:fldCharType="begin"/>
            </w:r>
            <w:r>
              <w:rPr/>
              <w:instrText xml:space="preserve"> REF _Ref417482063 \h </w:instrText>
            </w:r>
            <w:r>
              <w:rPr/>
              <w:fldChar w:fldCharType="separate"/>
            </w:r>
            <w:r>
              <w:rPr/>
              <w:t>Опись документов (форма 1)</w:t>
            </w:r>
            <w:r>
              <w:rPr/>
              <w:fldChar w:fldCharType="end"/>
            </w:r>
            <w:r>
              <w:rPr/>
              <w:t xml:space="preserve"> </w:t>
            </w:r>
            <w:r>
              <w:rPr/>
              <w:t xml:space="preserve">по форме и в соответствии с инструкциями, приведенными в Документации о продаже (подраздел </w:t>
            </w:r>
            <w:r>
              <w:rPr/>
              <w:fldChar w:fldCharType="begin"/>
            </w:r>
            <w:r>
              <w:rPr/>
              <w:instrText xml:space="preserve"> REF _Ref417482063 \r \h </w:instrText>
            </w:r>
            <w:r>
              <w:rPr/>
              <w:fldChar w:fldCharType="separate"/>
            </w:r>
            <w:r>
              <w:rPr/>
              <w:t>8.1</w:t>
            </w:r>
            <w:r>
              <w:rPr/>
              <w:fldChar w:fldCharType="end"/>
            </w:r>
            <w:r>
              <w:rPr/>
              <w:t>);</w:t>
            </w:r>
          </w:p>
        </w:tc>
      </w:tr>
      <w:tr>
        <w:trPr>
          <w:trHeight w:val="322" w:hRule="atLeast"/>
        </w:trPr>
        <w:tc>
          <w:tcPr>
            <w:tcW w:w="99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spacing w:before="120" w:after="0"/>
              <w:ind w:left="0" w:hanging="0"/>
              <w:contextualSpacing/>
              <w:jc w:val="center"/>
              <w:rPr>
                <w:rFonts w:ascii="Times New Roman" w:hAnsi="Times New Roman"/>
                <w:bCs/>
                <w:sz w:val="26"/>
              </w:rPr>
            </w:pPr>
            <w:r>
              <w:rPr>
                <w:rFonts w:ascii="Times New Roman" w:hAnsi="Times New Roman"/>
                <w:bCs/>
                <w:sz w:val="26"/>
              </w:rPr>
            </w:r>
          </w:p>
        </w:tc>
        <w:tc>
          <w:tcPr>
            <w:tcW w:w="92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b/>
                <w:bCs/>
              </w:rPr>
            </w:pPr>
            <w:r>
              <w:rPr/>
              <w:fldChar w:fldCharType="begin"/>
            </w:r>
            <w:r>
              <w:rPr/>
              <w:instrText xml:space="preserve"> REF _Ref55336310 \h </w:instrText>
            </w:r>
            <w:r>
              <w:rPr/>
              <w:fldChar w:fldCharType="separate"/>
            </w:r>
            <w:r>
              <w:rPr/>
              <w:t>Заявка на участие в Аукционе (форма 2)</w:t>
            </w:r>
            <w:r>
              <w:rPr/>
              <w:fldChar w:fldCharType="end"/>
            </w:r>
            <w:r>
              <w:rPr/>
              <w:t xml:space="preserve"> </w:t>
            </w:r>
            <w:r>
              <w:rPr/>
              <w:t xml:space="preserve">по форме и в соответствии с инструкциями, приведенными в Документации о продаже (подраздел </w:t>
            </w:r>
            <w:r>
              <w:rPr/>
              <w:fldChar w:fldCharType="begin"/>
            </w:r>
            <w:r>
              <w:rPr/>
              <w:instrText xml:space="preserve"> REF _Ref55336310 \r \h </w:instrText>
            </w:r>
            <w:r>
              <w:rPr/>
              <w:fldChar w:fldCharType="separate"/>
            </w:r>
            <w:r>
              <w:rPr/>
              <w:t>8.2</w:t>
            </w:r>
            <w:r>
              <w:rPr/>
              <w:fldChar w:fldCharType="end"/>
            </w:r>
            <w:r>
              <w:rPr/>
              <w:t>);</w:t>
            </w:r>
          </w:p>
        </w:tc>
      </w:tr>
      <w:tr>
        <w:trPr>
          <w:trHeight w:val="322" w:hRule="atLeast"/>
        </w:trPr>
        <w:tc>
          <w:tcPr>
            <w:tcW w:w="99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spacing w:before="120" w:after="0"/>
              <w:ind w:left="0" w:hanging="0"/>
              <w:contextualSpacing/>
              <w:jc w:val="center"/>
              <w:rPr>
                <w:rFonts w:ascii="Times New Roman" w:hAnsi="Times New Roman"/>
                <w:bCs/>
                <w:sz w:val="26"/>
              </w:rPr>
            </w:pPr>
            <w:r>
              <w:rPr>
                <w:rFonts w:ascii="Times New Roman" w:hAnsi="Times New Roman"/>
                <w:bCs/>
                <w:sz w:val="26"/>
              </w:rPr>
            </w:r>
          </w:p>
        </w:tc>
        <w:tc>
          <w:tcPr>
            <w:tcW w:w="921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pPr>
            <w:r>
              <w:rPr/>
              <w:t>Документы, подтверждающие соответствие Участника обязательным требованиям Документации о продаже (Приложение 3 к Документации).</w:t>
            </w:r>
          </w:p>
        </w:tc>
      </w:tr>
    </w:tbl>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Heading1"/>
        <w:rPr>
          <w:rFonts w:ascii="Times New Roman" w:hAnsi="Times New Roman"/>
          <w:b w:val="false"/>
          <w:sz w:val="24"/>
          <w:szCs w:val="24"/>
        </w:rPr>
      </w:pPr>
      <w:bookmarkStart w:id="594" w:name="_Toc187829936"/>
      <w:bookmarkStart w:id="595" w:name="_Toc514455649"/>
      <w:bookmarkStart w:id="596" w:name="_Toc516961409"/>
      <w:bookmarkStart w:id="597" w:name="_Toc516961555"/>
      <w:bookmarkStart w:id="598" w:name="_Toc516980616"/>
      <w:bookmarkStart w:id="599" w:name="_Ref468102866_Копия_1"/>
      <w:bookmarkStart w:id="600" w:name="_Ref384118604_Копия_1"/>
      <w:bookmarkStart w:id="601" w:name="_Ref384117211_Копия_1"/>
      <w:bookmarkEnd w:id="595"/>
      <w:bookmarkEnd w:id="596"/>
      <w:bookmarkEnd w:id="597"/>
      <w:bookmarkEnd w:id="598"/>
      <w:bookmarkEnd w:id="599"/>
      <w:bookmarkEnd w:id="600"/>
      <w:bookmarkEnd w:id="601"/>
      <w:r>
        <w:rPr>
          <w:rFonts w:ascii="Times New Roman" w:hAnsi="Times New Roman"/>
          <w:b w:val="false"/>
          <w:sz w:val="24"/>
          <w:szCs w:val="24"/>
        </w:rPr>
        <w:t>Приложение № 5</w:t>
      </w:r>
      <w:bookmarkEnd w:id="594"/>
    </w:p>
    <w:p>
      <w:pPr>
        <w:pStyle w:val="BodyText"/>
        <w:rPr/>
      </w:pPr>
      <w:r>
        <w:rPr/>
      </w:r>
    </w:p>
    <w:p>
      <w:pPr>
        <w:pStyle w:val="BodyText"/>
        <w:rPr/>
      </w:pPr>
      <w:r>
        <w:rPr/>
      </w:r>
    </w:p>
    <w:p>
      <w:pPr>
        <w:pStyle w:val="BodyText"/>
        <w:rPr/>
      </w:pPr>
      <w:r>
        <w:rPr/>
        <w:t>ОТБОРОЧНЫЕ КРИТЕРИИ РАССМОТРЕНИЯ ЗАЯВОК</w:t>
      </w:r>
    </w:p>
    <w:p>
      <w:pPr>
        <w:pStyle w:val="BodyText"/>
        <w:rPr/>
      </w:pPr>
      <w:r>
        <w:rPr/>
      </w:r>
    </w:p>
    <w:tbl>
      <w:tblPr>
        <w:tblW w:w="10065"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1134"/>
        <w:gridCol w:w="7088"/>
        <w:gridCol w:w="1843"/>
      </w:tblGrid>
      <w:tr>
        <w:trPr>
          <w:trHeight w:val="419" w:hRule="atLeast"/>
          <w:cantSplit w:val="true"/>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Номер критерия</w:t>
            </w:r>
          </w:p>
        </w:tc>
        <w:tc>
          <w:tcPr>
            <w:tcW w:w="7088" w:type="dxa"/>
            <w:vMerge w:val="restart"/>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Наименование отборочного критерия</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Номер пункта Документации о продаже</w:t>
            </w:r>
          </w:p>
        </w:tc>
      </w:tr>
      <w:tr>
        <w:trPr>
          <w:trHeight w:val="419" w:hRule="atLeast"/>
          <w:cantSplit w:val="true"/>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r>
          </w:p>
        </w:tc>
        <w:tc>
          <w:tcPr>
            <w:tcW w:w="7088" w:type="dxa"/>
            <w:vMerge w:val="continue"/>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r>
          </w:p>
        </w:tc>
        <w:tc>
          <w:tcPr>
            <w:tcW w:w="1843" w:type="dxa"/>
            <w:vMerge w:val="continue"/>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r>
          </w:p>
        </w:tc>
      </w:tr>
      <w:tr>
        <w:trPr>
          <w:cantSplit w:val="true"/>
        </w:trPr>
        <w:tc>
          <w:tcPr>
            <w:tcW w:w="1134"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r>
          </w:p>
        </w:tc>
        <w:tc>
          <w:tcPr>
            <w:tcW w:w="708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b/>
                <w:bCs/>
              </w:rPr>
              <w:t>Состав, содержание и правильность оформления Заявки</w:t>
            </w:r>
            <w:r>
              <w:rPr>
                <w:rFonts w:eastAsia="MS Mincho"/>
                <w:b/>
              </w:rPr>
              <w:t>, в том числе:</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w:t>
            </w:r>
          </w:p>
        </w:tc>
      </w:tr>
      <w:tr>
        <w:trPr>
          <w:cantSplit w:val="true"/>
        </w:trPr>
        <w:tc>
          <w:tcPr>
            <w:tcW w:w="1134"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numPr>
                <w:ilvl w:val="0"/>
                <w:numId w:val="11"/>
              </w:numPr>
              <w:spacing w:before="120" w:after="0"/>
              <w:rPr/>
            </w:pPr>
            <w:r>
              <w:rPr/>
            </w:r>
          </w:p>
        </w:tc>
        <w:tc>
          <w:tcPr>
            <w:tcW w:w="708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Наличие в составе представленной заявки всех обязательных к предоставлению документов в соответствии с требованиями Приложения № 4 к Документации, а также правильность их оформления (в том числе наличие должных печатей, подписей, формы заверения)</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 xml:space="preserve">Приложение № 4 к Документации/ пункт </w:t>
            </w:r>
            <w:r>
              <w:rPr/>
              <w:fldChar w:fldCharType="begin"/>
            </w:r>
            <w:r>
              <w:rPr/>
              <w:instrText xml:space="preserve"> REF _Ref56229154 \r \h </w:instrText>
            </w:r>
            <w:r>
              <w:rPr/>
              <w:fldChar w:fldCharType="separate"/>
            </w:r>
            <w:r>
              <w:rPr/>
              <w:t>5.5.1</w:t>
            </w:r>
            <w:r>
              <w:rPr/>
              <w:fldChar w:fldCharType="end"/>
            </w:r>
          </w:p>
        </w:tc>
      </w:tr>
      <w:tr>
        <w:trPr>
          <w:cantSplit w:val="true"/>
        </w:trPr>
        <w:tc>
          <w:tcPr>
            <w:tcW w:w="1134"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numPr>
                <w:ilvl w:val="0"/>
                <w:numId w:val="11"/>
              </w:numPr>
              <w:spacing w:before="120" w:after="0"/>
              <w:rPr/>
            </w:pPr>
            <w:r>
              <w:rPr/>
            </w:r>
          </w:p>
        </w:tc>
        <w:tc>
          <w:tcPr>
            <w:tcW w:w="708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Соответствие Заявки на участие в Аукционе, в том числе в части срока действия, языка и валюты Заявки</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 xml:space="preserve">подраздел </w:t>
            </w:r>
            <w:r>
              <w:rPr/>
              <w:fldChar w:fldCharType="begin"/>
            </w:r>
            <w:r>
              <w:rPr/>
              <w:instrText xml:space="preserve"> REF _Ref55336310 \r \h </w:instrText>
            </w:r>
            <w:r>
              <w:rPr/>
              <w:fldChar w:fldCharType="separate"/>
            </w:r>
            <w:r>
              <w:rPr/>
              <w:t>8.2</w:t>
            </w:r>
            <w:r>
              <w:rPr/>
              <w:fldChar w:fldCharType="end"/>
            </w:r>
            <w:r>
              <w:rPr/>
              <w:t xml:space="preserve"> / пункты </w:t>
            </w:r>
            <w:r>
              <w:rPr/>
              <w:fldChar w:fldCharType="begin"/>
            </w:r>
            <w:r>
              <w:rPr/>
              <w:instrText xml:space="preserve"> REF _Ref56233643 \r \h </w:instrText>
            </w:r>
            <w:r>
              <w:rPr/>
              <w:fldChar w:fldCharType="separate"/>
            </w:r>
            <w:r>
              <w:rPr/>
              <w:t>5.5.2</w:t>
            </w:r>
            <w:r>
              <w:rPr/>
              <w:fldChar w:fldCharType="end"/>
            </w:r>
            <w:r>
              <w:rPr/>
              <w:t xml:space="preserve"> – </w:t>
            </w:r>
            <w:r>
              <w:rPr/>
              <w:fldChar w:fldCharType="begin"/>
            </w:r>
            <w:r>
              <w:rPr/>
              <w:instrText xml:space="preserve"> REF _Ref514621956 \r \h </w:instrText>
            </w:r>
            <w:r>
              <w:rPr/>
              <w:fldChar w:fldCharType="separate"/>
            </w:r>
            <w:r>
              <w:rPr/>
              <w:t>5.5.4</w:t>
            </w:r>
            <w:r>
              <w:rPr/>
              <w:fldChar w:fldCharType="end"/>
            </w:r>
          </w:p>
        </w:tc>
      </w:tr>
      <w:tr>
        <w:trPr>
          <w:cantSplit w:val="true"/>
        </w:trPr>
        <w:tc>
          <w:tcPr>
            <w:tcW w:w="1134"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numPr>
                <w:ilvl w:val="0"/>
                <w:numId w:val="11"/>
              </w:numPr>
              <w:spacing w:before="120" w:after="0"/>
              <w:rPr/>
            </w:pPr>
            <w:r>
              <w:rPr/>
            </w:r>
          </w:p>
        </w:tc>
        <w:tc>
          <w:tcPr>
            <w:tcW w:w="708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Отсутствие в материалах Заявки недостоверных сведений или намеренно искаженной информации и/или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spacing w:before="120" w:after="0"/>
              <w:rPr/>
            </w:pPr>
            <w:r>
              <w:rPr/>
              <w:t xml:space="preserve">подпункт </w:t>
            </w:r>
            <w:r>
              <w:rPr/>
              <w:fldChar w:fldCharType="begin"/>
            </w:r>
            <w:r>
              <w:rPr/>
              <w:instrText xml:space="preserve"> REF _Ref515979979 \r \h </w:instrText>
            </w:r>
            <w:r>
              <w:rPr/>
              <w:fldChar w:fldCharType="separate"/>
            </w:r>
            <w:r>
              <w:rPr/>
              <w:t>5.5.1.3</w:t>
            </w:r>
            <w:r>
              <w:rPr/>
              <w:fldChar w:fldCharType="end"/>
            </w:r>
          </w:p>
        </w:tc>
      </w:tr>
    </w:tbl>
    <w:p>
      <w:pPr>
        <w:pStyle w:val="BodyText"/>
        <w:rPr/>
      </w:pPr>
      <w:r>
        <w:rPr/>
      </w:r>
    </w:p>
    <w:sectPr>
      <w:footerReference w:type="even" r:id="rId18"/>
      <w:footerReference w:type="default" r:id="rId19"/>
      <w:footerReference w:type="first" r:id="rId20"/>
      <w:type w:val="nextPage"/>
      <w:pgSz w:w="11906" w:h="16838"/>
      <w:pgMar w:left="1134" w:right="567" w:gutter="0" w:header="0" w:top="1134" w:footer="0"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 w:name="Geneva CY">
    <w:charset w:val="01"/>
    <w:family w:val="roman"/>
    <w:pitch w:val="variable"/>
  </w:font>
  <w:font w:name="Liberation Sans">
    <w:altName w:val="Arial"/>
    <w:charset w:val="01"/>
    <w:family w:val="roman"/>
    <w:pitch w:val="variable"/>
  </w:font>
  <w:font w:name="Calibri">
    <w:charset w:val="01"/>
    <w:family w:val="roman"/>
    <w:pitch w:val="variable"/>
  </w:font>
  <w:font w:name="Calibri">
    <w:charset w:val="01"/>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11</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rPr>
        <w:i/>
        <w:i/>
        <w:sz w:val="24"/>
        <w:szCs w:val="24"/>
      </w:rPr>
    </w:pPr>
    <w:r>
      <w:rPr>
        <w:sz w:val="20"/>
      </w:rPr>
      <w:tab/>
    </w:r>
  </w:p>
  <w:p>
    <w:pPr>
      <w:pStyle w:val="Normal"/>
      <w:tabs>
        <w:tab w:val="clear" w:pos="567"/>
        <w:tab w:val="right" w:pos="10260" w:leader="none"/>
      </w:tabs>
      <w:rPr>
        <w:i/>
        <w:i/>
        <w:sz w:val="24"/>
        <w:szCs w:val="24"/>
      </w:rPr>
    </w:pPr>
    <w:r>
      <w:rPr>
        <w:i/>
        <w:sz w:val="24"/>
        <w:szCs w:val="24"/>
      </w:rPr>
    </w:r>
  </w:p>
  <w:p>
    <w:pPr>
      <w:pStyle w:val="Normal"/>
      <w:tabs>
        <w:tab w:val="clear" w:pos="567"/>
        <w:tab w:val="right" w:pos="10260" w:leader="none"/>
      </w:tabs>
      <w:jc w:val="right"/>
      <w:rPr>
        <w:sz w:val="20"/>
      </w:rPr>
    </w:pP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1</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53</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rPr>
        <w:i/>
        <w:i/>
        <w:sz w:val="24"/>
        <w:szCs w:val="24"/>
      </w:rPr>
    </w:pPr>
    <w:r>
      <w:rPr>
        <w:sz w:val="20"/>
      </w:rPr>
      <w:tab/>
    </w:r>
  </w:p>
  <w:p>
    <w:pPr>
      <w:pStyle w:val="Normal"/>
      <w:tabs>
        <w:tab w:val="clear" w:pos="567"/>
        <w:tab w:val="right" w:pos="10260" w:leader="none"/>
      </w:tabs>
      <w:rPr>
        <w:i/>
        <w:i/>
        <w:sz w:val="24"/>
        <w:szCs w:val="24"/>
      </w:rPr>
    </w:pPr>
    <w:r>
      <w:rPr>
        <w:i/>
        <w:sz w:val="24"/>
        <w:szCs w:val="24"/>
      </w:rPr>
    </w:r>
  </w:p>
  <w:p>
    <w:pPr>
      <w:pStyle w:val="Normal"/>
      <w:tabs>
        <w:tab w:val="clear" w:pos="567"/>
        <w:tab w:val="right" w:pos="10260" w:leader="none"/>
      </w:tabs>
      <w:jc w:val="right"/>
      <w:rPr>
        <w:sz w:val="20"/>
      </w:rPr>
    </w:pP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48</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69</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567"/>
        <w:tab w:val="right" w:pos="10260" w:leader="none"/>
      </w:tabs>
      <w:spacing w:before="120" w:after="0"/>
      <w:rPr>
        <w:i/>
        <w:i/>
        <w:sz w:val="24"/>
        <w:szCs w:val="24"/>
      </w:rPr>
    </w:pPr>
    <w:r>
      <w:rPr>
        <w:sz w:val="20"/>
      </w:rPr>
      <w:tab/>
    </w:r>
  </w:p>
  <w:p>
    <w:pPr>
      <w:pStyle w:val="Normal"/>
      <w:tabs>
        <w:tab w:val="clear" w:pos="567"/>
        <w:tab w:val="right" w:pos="10260" w:leader="none"/>
      </w:tabs>
      <w:rPr>
        <w:i/>
        <w:i/>
        <w:sz w:val="24"/>
        <w:szCs w:val="24"/>
      </w:rPr>
    </w:pPr>
    <w:r>
      <w:rPr>
        <w:i/>
        <w:sz w:val="24"/>
        <w:szCs w:val="24"/>
      </w:rPr>
    </w:r>
  </w:p>
  <w:p>
    <w:pPr>
      <w:pStyle w:val="Normal"/>
      <w:tabs>
        <w:tab w:val="clear" w:pos="567"/>
        <w:tab w:val="right" w:pos="10260" w:leader="none"/>
      </w:tabs>
      <w:jc w:val="right"/>
      <w:rPr>
        <w:sz w:val="20"/>
      </w:rPr>
    </w:pP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54</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69</w:t>
    </w:r>
    <w:r>
      <w:rPr>
        <w:sz w:val="24"/>
        <w:i/>
        <w:szCs w:val="24"/>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567"/>
        </w:tabs>
        <w:ind w:left="567" w:hanging="567"/>
      </w:pPr>
      <w:rPr/>
    </w:lvl>
    <w:lvl w:ilvl="1">
      <w:start w:val="1"/>
      <w:numFmt w:val="decimal"/>
      <w:lvlText w:val="%1.%2"/>
      <w:lvlJc w:val="left"/>
      <w:pPr>
        <w:tabs>
          <w:tab w:val="num" w:pos="567"/>
        </w:tabs>
        <w:ind w:left="567" w:hanging="567"/>
      </w:pPr>
      <w:rPr/>
    </w:lvl>
    <w:lvl w:ilvl="2">
      <w:start w:val="1"/>
      <w:pStyle w:val="Heading3"/>
      <w:numFmt w:val="decimal"/>
      <w:lvlText w:val="%1.%2.%3"/>
      <w:lvlJc w:val="left"/>
      <w:pPr>
        <w:tabs>
          <w:tab w:val="num" w:pos="1134"/>
        </w:tabs>
        <w:ind w:left="1134" w:hanging="1134"/>
      </w:pPr>
      <w:rPr/>
    </w:lvl>
    <w:lvl w:ilvl="3">
      <w:start w:val="1"/>
      <w:pStyle w:val="Heading4"/>
      <w:numFmt w:val="decimal"/>
      <w:lvlText w:val="%1.%2.%3.%4"/>
      <w:lvlJc w:val="left"/>
      <w:pPr>
        <w:tabs>
          <w:tab w:val="num" w:pos="1701"/>
        </w:tabs>
        <w:ind w:left="1701" w:hanging="1134"/>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
    <w:lvl w:ilvl="0">
      <w:start w:val="1"/>
      <w:numFmt w:val="decimal"/>
      <w:lvlText w:val="%1."/>
      <w:lvlJc w:val="center"/>
      <w:pPr>
        <w:tabs>
          <w:tab w:val="num" w:pos="567"/>
        </w:tabs>
        <w:ind w:left="567" w:hanging="279"/>
      </w:pPr>
      <w:rPr/>
    </w:lvl>
    <w:lvl w:ilvl="1">
      <w:start w:val="1"/>
      <w:numFmt w:val="decimal"/>
      <w:lvlText w:val="%1.%2."/>
      <w:lvlJc w:val="left"/>
      <w:pPr>
        <w:tabs>
          <w:tab w:val="num" w:pos="1134"/>
        </w:tabs>
        <w:ind w:left="1134" w:hanging="567"/>
      </w:pPr>
      <w:rPr>
        <w:u w:val="none"/>
        <w:b w:val="false"/>
        <w:rFonts w:ascii="Times New Roman" w:hAnsi="Times New Roman" w:cs="Times New Roman"/>
      </w:rPr>
    </w:lvl>
    <w:lvl w:ilvl="2">
      <w:start w:val="1"/>
      <w:numFmt w:val="decimal"/>
      <w:lvlText w:val="%1.%2.%3."/>
      <w:lvlJc w:val="left"/>
      <w:pPr>
        <w:tabs>
          <w:tab w:val="num" w:pos="993"/>
        </w:tabs>
        <w:ind w:left="993" w:hanging="851"/>
      </w:pPr>
      <w:rPr>
        <w:dstrike w:val="false"/>
        <w:strike w:val="false"/>
        <w:b w:val="false"/>
      </w:rPr>
    </w:lvl>
    <w:lvl w:ilvl="3">
      <w:start w:val="1"/>
      <w:numFmt w:val="decimal"/>
      <w:lvlText w:val="%1.%2.%3.%4."/>
      <w:lvlJc w:val="left"/>
      <w:pPr>
        <w:tabs>
          <w:tab w:val="num" w:pos="1702"/>
        </w:tabs>
        <w:ind w:left="1702" w:hanging="567"/>
      </w:pPr>
      <w:rPr>
        <w:b w:val="false"/>
      </w:rPr>
    </w:lvl>
    <w:lvl w:ilvl="4">
      <w:start w:val="1"/>
      <w:numFmt w:val="lowerLetter"/>
      <w:lvlText w:val="%5)"/>
      <w:lvlJc w:val="left"/>
      <w:pPr>
        <w:tabs>
          <w:tab w:val="num" w:pos="1576"/>
        </w:tabs>
        <w:ind w:left="1576"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5">
    <w:lvl w:ilvl="0">
      <w:start w:val="1"/>
      <w:numFmt w:val="decimal"/>
      <w:lvlText w:val="%1. "/>
      <w:lvlJc w:val="left"/>
      <w:pPr>
        <w:tabs>
          <w:tab w:val="num" w:pos="454"/>
        </w:tabs>
        <w:ind w:left="432" w:hanging="432"/>
      </w:pPr>
      <w:rPr/>
    </w:lvl>
    <w:lvl w:ilvl="1">
      <w:start w:val="1"/>
      <w:numFmt w:val="decimal"/>
      <w:lvlText w:val="%1.%2. "/>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bullet"/>
      <w:lvlText w:val="‒"/>
      <w:lvlJc w:val="left"/>
      <w:pPr>
        <w:tabs>
          <w:tab w:val="num" w:pos="0"/>
        </w:tabs>
        <w:ind w:left="5824" w:hanging="360"/>
      </w:pPr>
      <w:rPr>
        <w:rFonts w:ascii="Calibri" w:hAnsi="Calibri" w:cs="Calibri" w:hint="default"/>
      </w:rPr>
    </w:lvl>
    <w:lvl w:ilvl="1">
      <w:start w:val="1"/>
      <w:numFmt w:val="bullet"/>
      <w:lvlText w:val="o"/>
      <w:lvlJc w:val="left"/>
      <w:pPr>
        <w:tabs>
          <w:tab w:val="num" w:pos="0"/>
        </w:tabs>
        <w:ind w:left="6544" w:hanging="360"/>
      </w:pPr>
      <w:rPr>
        <w:rFonts w:ascii="Courier New" w:hAnsi="Courier New" w:cs="Courier New" w:hint="default"/>
      </w:rPr>
    </w:lvl>
    <w:lvl w:ilvl="2">
      <w:start w:val="1"/>
      <w:numFmt w:val="bullet"/>
      <w:lvlText w:val=""/>
      <w:lvlJc w:val="left"/>
      <w:pPr>
        <w:tabs>
          <w:tab w:val="num" w:pos="0"/>
        </w:tabs>
        <w:ind w:left="7264" w:hanging="360"/>
      </w:pPr>
      <w:rPr>
        <w:rFonts w:ascii="Wingdings" w:hAnsi="Wingdings" w:cs="Wingdings" w:hint="default"/>
      </w:rPr>
    </w:lvl>
    <w:lvl w:ilvl="3">
      <w:start w:val="1"/>
      <w:numFmt w:val="bullet"/>
      <w:lvlText w:val=""/>
      <w:lvlJc w:val="left"/>
      <w:pPr>
        <w:tabs>
          <w:tab w:val="num" w:pos="0"/>
        </w:tabs>
        <w:ind w:left="7984" w:hanging="360"/>
      </w:pPr>
      <w:rPr>
        <w:rFonts w:ascii="Symbol" w:hAnsi="Symbol" w:cs="Symbol" w:hint="default"/>
      </w:rPr>
    </w:lvl>
    <w:lvl w:ilvl="4">
      <w:start w:val="1"/>
      <w:numFmt w:val="bullet"/>
      <w:lvlText w:val="o"/>
      <w:lvlJc w:val="left"/>
      <w:pPr>
        <w:tabs>
          <w:tab w:val="num" w:pos="0"/>
        </w:tabs>
        <w:ind w:left="8704" w:hanging="360"/>
      </w:pPr>
      <w:rPr>
        <w:rFonts w:ascii="Courier New" w:hAnsi="Courier New" w:cs="Courier New" w:hint="default"/>
      </w:rPr>
    </w:lvl>
    <w:lvl w:ilvl="5">
      <w:start w:val="1"/>
      <w:numFmt w:val="bullet"/>
      <w:lvlText w:val=""/>
      <w:lvlJc w:val="left"/>
      <w:pPr>
        <w:tabs>
          <w:tab w:val="num" w:pos="0"/>
        </w:tabs>
        <w:ind w:left="9424" w:hanging="360"/>
      </w:pPr>
      <w:rPr>
        <w:rFonts w:ascii="Wingdings" w:hAnsi="Wingdings" w:cs="Wingdings" w:hint="default"/>
      </w:rPr>
    </w:lvl>
    <w:lvl w:ilvl="6">
      <w:start w:val="1"/>
      <w:numFmt w:val="bullet"/>
      <w:lvlText w:val=""/>
      <w:lvlJc w:val="left"/>
      <w:pPr>
        <w:tabs>
          <w:tab w:val="num" w:pos="0"/>
        </w:tabs>
        <w:ind w:left="10144" w:hanging="360"/>
      </w:pPr>
      <w:rPr>
        <w:rFonts w:ascii="Symbol" w:hAnsi="Symbol" w:cs="Symbol" w:hint="default"/>
      </w:rPr>
    </w:lvl>
    <w:lvl w:ilvl="7">
      <w:start w:val="1"/>
      <w:numFmt w:val="bullet"/>
      <w:lvlText w:val="o"/>
      <w:lvlJc w:val="left"/>
      <w:pPr>
        <w:tabs>
          <w:tab w:val="num" w:pos="0"/>
        </w:tabs>
        <w:ind w:left="10864" w:hanging="360"/>
      </w:pPr>
      <w:rPr>
        <w:rFonts w:ascii="Courier New" w:hAnsi="Courier New" w:cs="Courier New" w:hint="default"/>
      </w:rPr>
    </w:lvl>
    <w:lvl w:ilvl="8">
      <w:start w:val="1"/>
      <w:numFmt w:val="bullet"/>
      <w:lvlText w:val=""/>
      <w:lvlJc w:val="left"/>
      <w:pPr>
        <w:tabs>
          <w:tab w:val="num" w:pos="0"/>
        </w:tabs>
        <w:ind w:left="11584"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927" w:hanging="360"/>
      </w:pPr>
      <w:rPr/>
    </w:lvl>
    <w:lvl w:ilvl="1">
      <w:start w:val="1"/>
      <w:numFmt w:val="decimal"/>
      <w:lvlText w:val="%1.%2."/>
      <w:lvlJc w:val="left"/>
      <w:pPr>
        <w:tabs>
          <w:tab w:val="num" w:pos="0"/>
        </w:tabs>
        <w:ind w:left="1331" w:hanging="480"/>
      </w:pPr>
      <w:rPr/>
    </w:lvl>
    <w:lvl w:ilvl="2">
      <w:start w:val="1"/>
      <w:numFmt w:val="decimal"/>
      <w:lvlText w:val="%1.%2.%3."/>
      <w:lvlJc w:val="left"/>
      <w:pPr>
        <w:tabs>
          <w:tab w:val="num" w:pos="0"/>
        </w:tabs>
        <w:ind w:left="862" w:hanging="720"/>
      </w:pPr>
      <w:rPr>
        <w:sz w:val="24"/>
        <w:b w:val="false"/>
        <w:szCs w:val="24"/>
      </w:rPr>
    </w:lvl>
    <w:lvl w:ilvl="3">
      <w:start w:val="1"/>
      <w:numFmt w:val="decimal"/>
      <w:lvlText w:val="%1.%2.%3.%4."/>
      <w:lvlJc w:val="left"/>
      <w:pPr>
        <w:tabs>
          <w:tab w:val="num" w:pos="0"/>
        </w:tabs>
        <w:ind w:left="1287" w:hanging="720"/>
      </w:pPr>
      <w:rPr/>
    </w:lvl>
    <w:lvl w:ilvl="4">
      <w:start w:val="1"/>
      <w:numFmt w:val="decimal"/>
      <w:lvlText w:val="%1.%2.%3.%4.%5."/>
      <w:lvlJc w:val="left"/>
      <w:pPr>
        <w:tabs>
          <w:tab w:val="num" w:pos="0"/>
        </w:tabs>
        <w:ind w:left="1647" w:hanging="1080"/>
      </w:pPr>
      <w:rPr/>
    </w:lvl>
    <w:lvl w:ilvl="5">
      <w:start w:val="1"/>
      <w:numFmt w:val="decimal"/>
      <w:lvlText w:val="%1.%2.%3.%4.%5.%6."/>
      <w:lvlJc w:val="left"/>
      <w:pPr>
        <w:tabs>
          <w:tab w:val="num" w:pos="0"/>
        </w:tabs>
        <w:ind w:left="1647" w:hanging="1080"/>
      </w:pPr>
      <w:rPr/>
    </w:lvl>
    <w:lvl w:ilvl="6">
      <w:start w:val="1"/>
      <w:numFmt w:val="decimal"/>
      <w:lvlText w:val="%1.%2.%3.%4.%5.%6.%7."/>
      <w:lvlJc w:val="left"/>
      <w:pPr>
        <w:tabs>
          <w:tab w:val="num" w:pos="0"/>
        </w:tabs>
        <w:ind w:left="2007" w:hanging="1440"/>
      </w:pPr>
      <w:rPr/>
    </w:lvl>
    <w:lvl w:ilvl="7">
      <w:start w:val="1"/>
      <w:numFmt w:val="decimal"/>
      <w:lvlText w:val="%1.%2.%3.%4.%5.%6.%7.%8."/>
      <w:lvlJc w:val="left"/>
      <w:pPr>
        <w:tabs>
          <w:tab w:val="num" w:pos="0"/>
        </w:tabs>
        <w:ind w:left="2007" w:hanging="1440"/>
      </w:pPr>
      <w:rPr/>
    </w:lvl>
    <w:lvl w:ilvl="8">
      <w:start w:val="1"/>
      <w:numFmt w:val="decimal"/>
      <w:lvlText w:val="%1.%2.%3.%4.%5.%6.%7.%8.%9."/>
      <w:lvlJc w:val="left"/>
      <w:pPr>
        <w:tabs>
          <w:tab w:val="num" w:pos="0"/>
        </w:tabs>
        <w:ind w:left="2367" w:hanging="1800"/>
      </w:pPr>
      <w:rPr/>
    </w:lvl>
  </w:abstractNum>
  <w:abstractNum w:abstractNumId="12">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13">
    <w:lvl w:ilvl="0">
      <w:start w:val="1"/>
      <w:numFmt w:val="decimal"/>
      <w:lvlText w:val="%1."/>
      <w:lvlJc w:val="left"/>
      <w:pPr>
        <w:tabs>
          <w:tab w:val="num" w:pos="0"/>
        </w:tabs>
        <w:ind w:left="945" w:hanging="945"/>
      </w:pPr>
      <w:rPr/>
    </w:lvl>
    <w:lvl w:ilvl="1">
      <w:start w:val="1"/>
      <w:numFmt w:val="decimal"/>
      <w:lvlText w:val="%1.%2."/>
      <w:lvlJc w:val="left"/>
      <w:pPr>
        <w:tabs>
          <w:tab w:val="num" w:pos="0"/>
        </w:tabs>
        <w:ind w:left="1485" w:hanging="945"/>
      </w:pPr>
      <w:rPr/>
    </w:lvl>
    <w:lvl w:ilvl="2">
      <w:start w:val="1"/>
      <w:numFmt w:val="decimal"/>
      <w:lvlText w:val="%1.%2.%3."/>
      <w:lvlJc w:val="left"/>
      <w:pPr>
        <w:tabs>
          <w:tab w:val="num" w:pos="0"/>
        </w:tabs>
        <w:ind w:left="2025" w:hanging="945"/>
      </w:pPr>
      <w:rPr/>
    </w:lvl>
    <w:lvl w:ilvl="3">
      <w:start w:val="1"/>
      <w:numFmt w:val="decimal"/>
      <w:lvlText w:val="%1.%2.%3.%4."/>
      <w:lvlJc w:val="left"/>
      <w:pPr>
        <w:tabs>
          <w:tab w:val="num" w:pos="0"/>
        </w:tabs>
        <w:ind w:left="2565" w:hanging="945"/>
      </w:pPr>
      <w:rPr/>
    </w:lvl>
    <w:lvl w:ilvl="4">
      <w:start w:val="1"/>
      <w:numFmt w:val="decimal"/>
      <w:lvlText w:val="%1.%2.%3.%4.%5."/>
      <w:lvlJc w:val="left"/>
      <w:pPr>
        <w:tabs>
          <w:tab w:val="num" w:pos="0"/>
        </w:tabs>
        <w:ind w:left="3240" w:hanging="1080"/>
      </w:pPr>
      <w:rPr/>
    </w:lvl>
    <w:lvl w:ilvl="5">
      <w:start w:val="1"/>
      <w:numFmt w:val="decimal"/>
      <w:lvlText w:val="%1.%2.%3.%4.%5.%6."/>
      <w:lvlJc w:val="left"/>
      <w:pPr>
        <w:tabs>
          <w:tab w:val="num" w:pos="0"/>
        </w:tabs>
        <w:ind w:left="3780" w:hanging="1080"/>
      </w:pPr>
      <w:rPr/>
    </w:lvl>
    <w:lvl w:ilvl="6">
      <w:start w:val="1"/>
      <w:numFmt w:val="decimal"/>
      <w:lvlText w:val="%1.%2.%3.%4.%5.%6.%7."/>
      <w:lvlJc w:val="left"/>
      <w:pPr>
        <w:tabs>
          <w:tab w:val="num" w:pos="0"/>
        </w:tabs>
        <w:ind w:left="4680" w:hanging="1440"/>
      </w:pPr>
      <w:rPr/>
    </w:lvl>
    <w:lvl w:ilvl="7">
      <w:start w:val="1"/>
      <w:numFmt w:val="decimal"/>
      <w:lvlText w:val="%1.%2.%3.%4.%5.%6.%7.%8."/>
      <w:lvlJc w:val="left"/>
      <w:pPr>
        <w:tabs>
          <w:tab w:val="num" w:pos="0"/>
        </w:tabs>
        <w:ind w:left="5220" w:hanging="1440"/>
      </w:pPr>
      <w:rPr/>
    </w:lvl>
    <w:lvl w:ilvl="8">
      <w:start w:val="1"/>
      <w:numFmt w:val="decimal"/>
      <w:lvlText w:val="%1.%2.%3.%4.%5.%6.%7.%8.%9."/>
      <w:lvlJc w:val="left"/>
      <w:pPr>
        <w:tabs>
          <w:tab w:val="num" w:pos="0"/>
        </w:tabs>
        <w:ind w:left="6120" w:hanging="1800"/>
      </w:pPr>
      <w:rPr/>
    </w:lvl>
  </w:abstractNum>
  <w:abstractNum w:abstractNumId="14">
    <w:lvl w:ilvl="0">
      <w:start w:val="1"/>
      <w:numFmt w:val="bullet"/>
      <w:lvlText w:val=""/>
      <w:lvlJc w:val="left"/>
      <w:pPr>
        <w:tabs>
          <w:tab w:val="num" w:pos="360"/>
        </w:tabs>
        <w:ind w:left="360" w:hanging="360"/>
      </w:pPr>
      <w:rPr>
        <w:rFonts w:ascii="Symbol" w:hAnsi="Symbol" w:cs="Symbol" w:hint="default"/>
      </w:rPr>
    </w:lvl>
    <w:lvl w:ilvl="1">
      <w:start w:val="1"/>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15">
    <w:lvl w:ilvl="0">
      <w:start w:val="4"/>
      <w:numFmt w:val="decimal"/>
      <w:suff w:val="space"/>
      <w:lvlText w:val="%1."/>
      <w:lvlJc w:val="left"/>
      <w:pPr>
        <w:tabs>
          <w:tab w:val="num" w:pos="0"/>
        </w:tabs>
        <w:ind w:left="945" w:hanging="945"/>
      </w:pPr>
      <w:rPr/>
    </w:lvl>
    <w:lvl w:ilvl="1">
      <w:start w:val="1"/>
      <w:numFmt w:val="decimal"/>
      <w:lvlText w:val="%1.%2."/>
      <w:lvlJc w:val="left"/>
      <w:pPr>
        <w:tabs>
          <w:tab w:val="num" w:pos="0"/>
        </w:tabs>
        <w:ind w:left="1485" w:hanging="945"/>
      </w:pPr>
      <w:rPr/>
    </w:lvl>
    <w:lvl w:ilvl="2">
      <w:start w:val="1"/>
      <w:numFmt w:val="decimal"/>
      <w:lvlText w:val="%1.%2.%3."/>
      <w:lvlJc w:val="left"/>
      <w:pPr>
        <w:tabs>
          <w:tab w:val="num" w:pos="0"/>
        </w:tabs>
        <w:ind w:left="2025" w:hanging="945"/>
      </w:pPr>
      <w:rPr/>
    </w:lvl>
    <w:lvl w:ilvl="3">
      <w:start w:val="1"/>
      <w:numFmt w:val="decimal"/>
      <w:lvlText w:val="%1.%2.%3.%4."/>
      <w:lvlJc w:val="left"/>
      <w:pPr>
        <w:tabs>
          <w:tab w:val="num" w:pos="0"/>
        </w:tabs>
        <w:ind w:left="2565" w:hanging="945"/>
      </w:pPr>
      <w:rPr/>
    </w:lvl>
    <w:lvl w:ilvl="4">
      <w:start w:val="1"/>
      <w:numFmt w:val="decimal"/>
      <w:lvlText w:val="%1.%2.%3.%4.%5."/>
      <w:lvlJc w:val="left"/>
      <w:pPr>
        <w:tabs>
          <w:tab w:val="num" w:pos="0"/>
        </w:tabs>
        <w:ind w:left="3240" w:hanging="1080"/>
      </w:pPr>
      <w:rPr/>
    </w:lvl>
    <w:lvl w:ilvl="5">
      <w:start w:val="1"/>
      <w:numFmt w:val="decimal"/>
      <w:lvlText w:val="%1.%2.%3.%4.%5.%6."/>
      <w:lvlJc w:val="left"/>
      <w:pPr>
        <w:tabs>
          <w:tab w:val="num" w:pos="0"/>
        </w:tabs>
        <w:ind w:left="3780" w:hanging="1080"/>
      </w:pPr>
      <w:rPr/>
    </w:lvl>
    <w:lvl w:ilvl="6">
      <w:start w:val="1"/>
      <w:numFmt w:val="decimal"/>
      <w:lvlText w:val="%1.%2.%3.%4.%5.%6.%7."/>
      <w:lvlJc w:val="left"/>
      <w:pPr>
        <w:tabs>
          <w:tab w:val="num" w:pos="0"/>
        </w:tabs>
        <w:ind w:left="4680" w:hanging="1440"/>
      </w:pPr>
      <w:rPr/>
    </w:lvl>
    <w:lvl w:ilvl="7">
      <w:start w:val="1"/>
      <w:numFmt w:val="decimal"/>
      <w:lvlText w:val="%1.%2.%3.%4.%5.%6.%7.%8."/>
      <w:lvlJc w:val="left"/>
      <w:pPr>
        <w:tabs>
          <w:tab w:val="num" w:pos="0"/>
        </w:tabs>
        <w:ind w:left="5220" w:hanging="1440"/>
      </w:pPr>
      <w:rPr/>
    </w:lvl>
    <w:lvl w:ilvl="8">
      <w:start w:val="1"/>
      <w:numFmt w:val="decimal"/>
      <w:lvlText w:val="%1.%2.%3.%4.%5.%6.%7.%8.%9."/>
      <w:lvlJc w:val="left"/>
      <w:pPr>
        <w:tabs>
          <w:tab w:val="num" w:pos="0"/>
        </w:tabs>
        <w:ind w:left="6120" w:hanging="1800"/>
      </w:pPr>
      <w:rPr/>
    </w:lvl>
  </w:abstractNum>
  <w:abstractNum w:abstractNumId="16">
    <w:lvl w:ilvl="0">
      <w:start w:val="7"/>
      <w:numFmt w:val="decimal"/>
      <w:suff w:val="space"/>
      <w:lvlText w:val="%1."/>
      <w:lvlJc w:val="left"/>
      <w:pPr>
        <w:tabs>
          <w:tab w:val="num" w:pos="0"/>
        </w:tabs>
        <w:ind w:left="945" w:hanging="945"/>
      </w:pPr>
      <w:rPr/>
    </w:lvl>
    <w:lvl w:ilvl="1">
      <w:start w:val="1"/>
      <w:numFmt w:val="decimal"/>
      <w:lvlText w:val="%1.%2."/>
      <w:lvlJc w:val="left"/>
      <w:pPr>
        <w:tabs>
          <w:tab w:val="num" w:pos="0"/>
        </w:tabs>
        <w:ind w:left="1485" w:hanging="945"/>
      </w:pPr>
      <w:rPr/>
    </w:lvl>
    <w:lvl w:ilvl="2">
      <w:start w:val="1"/>
      <w:numFmt w:val="decimal"/>
      <w:lvlText w:val="%1.%2.%3."/>
      <w:lvlJc w:val="left"/>
      <w:pPr>
        <w:tabs>
          <w:tab w:val="num" w:pos="0"/>
        </w:tabs>
        <w:ind w:left="2025" w:hanging="945"/>
      </w:pPr>
      <w:rPr/>
    </w:lvl>
    <w:lvl w:ilvl="3">
      <w:start w:val="1"/>
      <w:numFmt w:val="decimal"/>
      <w:lvlText w:val="%1.%2.%3.%4."/>
      <w:lvlJc w:val="left"/>
      <w:pPr>
        <w:tabs>
          <w:tab w:val="num" w:pos="0"/>
        </w:tabs>
        <w:ind w:left="2565" w:hanging="945"/>
      </w:pPr>
      <w:rPr/>
    </w:lvl>
    <w:lvl w:ilvl="4">
      <w:start w:val="1"/>
      <w:numFmt w:val="decimal"/>
      <w:lvlText w:val="%1.%2.%3.%4.%5."/>
      <w:lvlJc w:val="left"/>
      <w:pPr>
        <w:tabs>
          <w:tab w:val="num" w:pos="0"/>
        </w:tabs>
        <w:ind w:left="3240" w:hanging="1080"/>
      </w:pPr>
      <w:rPr/>
    </w:lvl>
    <w:lvl w:ilvl="5">
      <w:start w:val="1"/>
      <w:numFmt w:val="decimal"/>
      <w:lvlText w:val="%1.%2.%3.%4.%5.%6."/>
      <w:lvlJc w:val="left"/>
      <w:pPr>
        <w:tabs>
          <w:tab w:val="num" w:pos="0"/>
        </w:tabs>
        <w:ind w:left="3780" w:hanging="1080"/>
      </w:pPr>
      <w:rPr/>
    </w:lvl>
    <w:lvl w:ilvl="6">
      <w:start w:val="1"/>
      <w:numFmt w:val="decimal"/>
      <w:lvlText w:val="%1.%2.%3.%4.%5.%6.%7."/>
      <w:lvlJc w:val="left"/>
      <w:pPr>
        <w:tabs>
          <w:tab w:val="num" w:pos="0"/>
        </w:tabs>
        <w:ind w:left="4680" w:hanging="1440"/>
      </w:pPr>
      <w:rPr/>
    </w:lvl>
    <w:lvl w:ilvl="7">
      <w:start w:val="1"/>
      <w:numFmt w:val="decimal"/>
      <w:lvlText w:val="%1.%2.%3.%4.%5.%6.%7.%8."/>
      <w:lvlJc w:val="left"/>
      <w:pPr>
        <w:tabs>
          <w:tab w:val="num" w:pos="0"/>
        </w:tabs>
        <w:ind w:left="5220" w:hanging="1440"/>
      </w:pPr>
      <w:rPr/>
    </w:lvl>
    <w:lvl w:ilvl="8">
      <w:start w:val="1"/>
      <w:numFmt w:val="decimal"/>
      <w:lvlText w:val="%1.%2.%3.%4.%5.%6.%7.%8.%9."/>
      <w:lvlJc w:val="left"/>
      <w:pPr>
        <w:tabs>
          <w:tab w:val="num" w:pos="0"/>
        </w:tabs>
        <w:ind w:left="6120" w:hanging="1800"/>
      </w:pPr>
      <w:rPr/>
    </w:lvl>
  </w:abstractNum>
  <w:abstractNum w:abstractNumId="17">
    <w:lvl w:ilvl="0">
      <w:start w:val="1"/>
      <w:numFmt w:val="decimal"/>
      <w:suff w:val="space"/>
      <w:lvlText w:val="%1."/>
      <w:lvlJc w:val="left"/>
      <w:pPr>
        <w:tabs>
          <w:tab w:val="num" w:pos="0"/>
        </w:tabs>
        <w:ind w:left="709" w:hanging="709"/>
      </w:pPr>
      <w:rPr>
        <w:smallCaps w:val="false"/>
        <w:caps w:val="false"/>
        <w:dstrike w:val="false"/>
        <w:strike w:val="false"/>
        <w:sz w:val="26"/>
        <w:spacing w:val="0"/>
        <w:i w:val="false"/>
        <w:u w:val="none"/>
        <w:b w:val="false"/>
        <w:szCs w:val="26"/>
        <w:iCs w:val="false"/>
        <w:bCs w:val="false"/>
        <w:w w:val="100"/>
        <w:rFonts w:ascii="Times New Roman" w:hAnsi="Times New Roman" w:cs="Times New Roman"/>
        <w:color w:val="000000"/>
      </w:rPr>
    </w:lvl>
    <w:lvl w:ilvl="1">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2">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3">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4">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5">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6">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7">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lvl w:ilvl="8">
      <w:start w:val="2"/>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w w:val="100"/>
        <w:rFonts w:ascii="Times New Roman" w:hAnsi="Times New Roman" w:cs="Times New Roman"/>
        <w:color w:val="000000"/>
      </w:rPr>
    </w:lvl>
  </w:abstractNum>
  <w:abstractNum w:abstractNumId="1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2">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5">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6">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7">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2">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5">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6">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7">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2">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5">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6">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7">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5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5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4962"/>
        </w:tabs>
        <w:ind w:left="4962"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3"/>
  </w:num>
  <w:num w:numId="53">
    <w:abstractNumId w:val="3"/>
  </w:num>
  <w:num w:numId="54">
    <w:abstractNumId w:val="3"/>
  </w:num>
  <w:num w:numId="55">
    <w:abstractNumId w:val="3"/>
  </w:num>
  <w:num w:numId="56">
    <w:abstractNumId w:val="3"/>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58">
    <w:abstractNumId w:val="3"/>
  </w:num>
  <w:num w:numId="59">
    <w:abstractNumId w:val="3"/>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61">
    <w:abstractNumId w:val="3"/>
  </w:num>
  <w:num w:numId="62">
    <w:abstractNumId w:val="3"/>
  </w:num>
  <w:num w:numId="63">
    <w:abstractNumId w:val="3"/>
  </w:num>
  <w:num w:numId="64">
    <w:abstractNumId w:val="3"/>
  </w:num>
  <w:num w:numId="65">
    <w:abstractNumId w:val="3"/>
  </w:num>
  <w:num w:numId="66">
    <w:abstractNumId w:val="3"/>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68">
    <w:abstractNumId w:val="3"/>
  </w:num>
  <w:num w:numId="69">
    <w:abstractNumId w:val="3"/>
  </w:num>
  <w:num w:numId="70">
    <w:abstractNumId w:val="3"/>
  </w:num>
  <w:num w:numId="71">
    <w:abstractNumId w:val="3"/>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3">
    <w:abstractNumId w:val="3"/>
  </w:num>
  <w:num w:numId="74">
    <w:abstractNumId w:val="3"/>
  </w:num>
  <w:num w:numId="75">
    <w:abstractNumId w:val="3"/>
  </w:num>
  <w:num w:numId="76">
    <w:abstractNumId w:val="3"/>
  </w:num>
  <w:num w:numId="77">
    <w:abstractNumId w:val="3"/>
  </w:num>
  <w:num w:numId="78">
    <w:abstractNumId w:val="3"/>
  </w:num>
  <w:num w:numId="79">
    <w:abstractNumId w:val="3"/>
  </w:num>
  <w:num w:numId="80">
    <w:abstractNumId w:val="3"/>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82">
    <w:abstractNumId w:val="3"/>
  </w:num>
  <w:num w:numId="83">
    <w:abstractNumId w:val="3"/>
  </w:num>
  <w:num w:numId="84">
    <w:abstractNumId w:val="3"/>
  </w:num>
  <w:num w:numId="85">
    <w:abstractNumId w:val="3"/>
  </w:num>
</w:numbering>
</file>

<file path=word/settings.xml><?xml version="1.0" encoding="utf-8"?>
<w:settings xmlns:w="http://schemas.openxmlformats.org/wordprocessingml/2006/main">
  <w:zoom w:percent="100"/>
  <w:embedSystemFonts/>
  <w:defaultTabStop w:val="567"/>
  <w:autoHyphenation w:val="true"/>
  <w:doNotHyphenateCaps/>
  <w:hyphenationZone w:val="357"/>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6"/>
        <w:szCs w:val="26"/>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uiPriority="99"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0426c"/>
    <w:pPr>
      <w:widowControl/>
      <w:suppressAutoHyphens w:val="true"/>
      <w:bidi w:val="0"/>
      <w:spacing w:before="120" w:after="0"/>
      <w:jc w:val="both"/>
    </w:pPr>
    <w:rPr>
      <w:rFonts w:ascii="Times New Roman" w:hAnsi="Times New Roman" w:eastAsia="Times New Roman" w:cs="Times New Roman"/>
      <w:color w:val="auto"/>
      <w:kern w:val="0"/>
      <w:sz w:val="26"/>
      <w:szCs w:val="26"/>
      <w:lang w:val="ru-RU" w:eastAsia="ru-RU" w:bidi="ar-SA"/>
    </w:rPr>
  </w:style>
  <w:style w:type="paragraph" w:styleId="Heading1">
    <w:name w:val="Heading 1"/>
    <w:basedOn w:val="Normal"/>
    <w:next w:val="Normal"/>
    <w:qFormat/>
    <w:rsid w:val="001b3984"/>
    <w:pPr>
      <w:keepNext w:val="true"/>
      <w:keepLines/>
      <w:pageBreakBefore/>
      <w:spacing w:before="480" w:after="240"/>
      <w:jc w:val="left"/>
      <w:outlineLvl w:val="0"/>
    </w:pPr>
    <w:rPr>
      <w:rFonts w:ascii="Arial" w:hAnsi="Arial"/>
      <w:b/>
      <w:kern w:val="2"/>
      <w:sz w:val="40"/>
    </w:rPr>
  </w:style>
  <w:style w:type="paragraph" w:styleId="Heading2">
    <w:name w:val="Heading 2"/>
    <w:basedOn w:val="Normal"/>
    <w:next w:val="Normal"/>
    <w:link w:val="2"/>
    <w:qFormat/>
    <w:rsid w:val="001b3984"/>
    <w:pPr>
      <w:keepNext w:val="true"/>
      <w:numPr>
        <w:ilvl w:val="1"/>
        <w:numId w:val="3"/>
      </w:numPr>
      <w:spacing w:before="360" w:after="120"/>
      <w:jc w:val="left"/>
      <w:outlineLvl w:val="1"/>
    </w:pPr>
    <w:rPr>
      <w:b/>
      <w:sz w:val="32"/>
    </w:rPr>
  </w:style>
  <w:style w:type="paragraph" w:styleId="Heading3">
    <w:name w:val="Heading 3"/>
    <w:basedOn w:val="Normal"/>
    <w:next w:val="Normal"/>
    <w:qFormat/>
    <w:pPr>
      <w:keepNext w:val="true"/>
      <w:numPr>
        <w:ilvl w:val="2"/>
        <w:numId w:val="1"/>
      </w:numPr>
      <w:spacing w:before="120" w:after="120"/>
      <w:jc w:val="left"/>
      <w:outlineLvl w:val="2"/>
    </w:pPr>
    <w:rPr>
      <w:b/>
    </w:rPr>
  </w:style>
  <w:style w:type="paragraph" w:styleId="Heading4">
    <w:name w:val="Heading 4"/>
    <w:basedOn w:val="Normal"/>
    <w:next w:val="Normal"/>
    <w:qFormat/>
    <w:pPr>
      <w:keepNext w:val="true"/>
      <w:numPr>
        <w:ilvl w:val="3"/>
        <w:numId w:val="1"/>
      </w:numPr>
      <w:tabs>
        <w:tab w:val="clear" w:pos="567"/>
        <w:tab w:val="left" w:pos="1134" w:leader="none"/>
      </w:tabs>
      <w:spacing w:before="240" w:after="120"/>
      <w:outlineLvl w:val="3"/>
    </w:pPr>
    <w:rPr>
      <w:b/>
      <w:i/>
    </w:rPr>
  </w:style>
  <w:style w:type="paragraph" w:styleId="Heading5">
    <w:name w:val="Heading 5"/>
    <w:basedOn w:val="Normal"/>
    <w:next w:val="Normal"/>
    <w:qFormat/>
    <w:pPr>
      <w:keepNext w:val="true"/>
      <w:numPr>
        <w:ilvl w:val="4"/>
        <w:numId w:val="2"/>
      </w:numPr>
      <w:tabs>
        <w:tab w:val="clear" w:pos="567"/>
        <w:tab w:val="left" w:pos="360" w:leader="none"/>
      </w:tabs>
      <w:spacing w:before="60" w:after="0"/>
      <w:ind w:left="0" w:hanging="0"/>
      <w:outlineLvl w:val="4"/>
    </w:pPr>
    <w:rPr>
      <w:b/>
    </w:rPr>
  </w:style>
  <w:style w:type="paragraph" w:styleId="Heading6">
    <w:name w:val="Heading 6"/>
    <w:basedOn w:val="Normal"/>
    <w:next w:val="Normal"/>
    <w:qFormat/>
    <w:pPr>
      <w:widowControl w:val="false"/>
      <w:numPr>
        <w:ilvl w:val="5"/>
        <w:numId w:val="2"/>
      </w:numPr>
      <w:tabs>
        <w:tab w:val="clear" w:pos="567"/>
        <w:tab w:val="left" w:pos="360" w:leader="none"/>
      </w:tabs>
      <w:spacing w:before="240" w:after="60"/>
      <w:ind w:left="0" w:hanging="0"/>
      <w:outlineLvl w:val="5"/>
    </w:pPr>
    <w:rPr>
      <w:b/>
      <w:sz w:val="22"/>
    </w:rPr>
  </w:style>
  <w:style w:type="paragraph" w:styleId="Heading7">
    <w:name w:val="Heading 7"/>
    <w:basedOn w:val="Normal"/>
    <w:next w:val="Normal"/>
    <w:qFormat/>
    <w:pPr>
      <w:widowControl w:val="false"/>
      <w:numPr>
        <w:ilvl w:val="6"/>
        <w:numId w:val="2"/>
      </w:numPr>
      <w:tabs>
        <w:tab w:val="clear" w:pos="567"/>
        <w:tab w:val="left" w:pos="360" w:leader="none"/>
      </w:tabs>
      <w:spacing w:before="240" w:after="60"/>
      <w:ind w:left="0" w:hanging="0"/>
      <w:outlineLvl w:val="6"/>
    </w:pPr>
    <w:rPr/>
  </w:style>
  <w:style w:type="paragraph" w:styleId="Heading8">
    <w:name w:val="Heading 8"/>
    <w:basedOn w:val="Normal"/>
    <w:next w:val="Normal"/>
    <w:qFormat/>
    <w:pPr>
      <w:widowControl w:val="false"/>
      <w:numPr>
        <w:ilvl w:val="7"/>
        <w:numId w:val="2"/>
      </w:numPr>
      <w:tabs>
        <w:tab w:val="clear" w:pos="567"/>
        <w:tab w:val="left" w:pos="360" w:leader="none"/>
      </w:tabs>
      <w:spacing w:before="240" w:after="60"/>
      <w:ind w:left="0" w:hanging="0"/>
      <w:outlineLvl w:val="7"/>
    </w:pPr>
    <w:rPr>
      <w:i/>
    </w:rPr>
  </w:style>
  <w:style w:type="paragraph" w:styleId="Heading9">
    <w:name w:val="Heading 9"/>
    <w:basedOn w:val="Normal"/>
    <w:next w:val="Normal"/>
    <w:qFormat/>
    <w:pPr>
      <w:widowControl w:val="false"/>
      <w:numPr>
        <w:ilvl w:val="8"/>
        <w:numId w:val="2"/>
      </w:numPr>
      <w:tabs>
        <w:tab w:val="clear" w:pos="567"/>
        <w:tab w:val="left" w:pos="360" w:leader="none"/>
      </w:tabs>
      <w:spacing w:before="240" w:after="60"/>
      <w:ind w:left="0" w:hanging="0"/>
      <w:outlineLvl w:val="8"/>
    </w:pPr>
    <w:rPr>
      <w:rFonts w:ascii="Arial" w:hAnsi="Arial"/>
      <w:sz w:val="22"/>
    </w:rPr>
  </w:style>
  <w:style w:type="character" w:styleId="DefaultParagraphFont" w:default="1">
    <w:name w:val="Default Paragraph Font"/>
    <w:uiPriority w:val="1"/>
    <w:semiHidden/>
    <w:unhideWhenUsed/>
    <w:qFormat/>
    <w:rPr/>
  </w:style>
  <w:style w:type="character" w:styleId="2" w:customStyle="1">
    <w:name w:val="Заголовок 2 Знак"/>
    <w:qFormat/>
    <w:rsid w:val="001d54b3"/>
    <w:rPr>
      <w:b/>
      <w:sz w:val="32"/>
    </w:rPr>
  </w:style>
  <w:style w:type="character" w:styleId="Hyperlink">
    <w:name w:val="Hyperlink"/>
    <w:uiPriority w:val="99"/>
    <w:rPr>
      <w:color w:val="0000FF"/>
      <w:u w:val="single"/>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qFormat/>
    <w:rPr>
      <w:rFonts w:ascii="Times New Roman" w:hAnsi="Times New Roman"/>
      <w:sz w:val="20"/>
    </w:rPr>
  </w:style>
  <w:style w:type="character" w:styleId="FollowedHyperlink">
    <w:name w:val="FollowedHyperlink"/>
    <w:rPr>
      <w:color w:val="800080"/>
      <w:u w:val="single"/>
    </w:rPr>
  </w:style>
  <w:style w:type="character" w:styleId="Style1" w:customStyle="1">
    <w:name w:val="Текст сноски Знак"/>
    <w:uiPriority w:val="99"/>
    <w:qFormat/>
    <w:rsid w:val="0006354d"/>
    <w:rPr/>
  </w:style>
  <w:style w:type="character" w:styleId="21" w:customStyle="1">
    <w:name w:val="Пункт Знак2"/>
    <w:qFormat/>
    <w:rsid w:val="007d5454"/>
    <w:rPr/>
  </w:style>
  <w:style w:type="character" w:styleId="Style2" w:customStyle="1">
    <w:name w:val="Пункт Знак"/>
    <w:qFormat/>
    <w:rPr>
      <w:sz w:val="28"/>
      <w:lang w:val="ru-RU" w:eastAsia="ru-RU" w:bidi="ar-SA"/>
    </w:rPr>
  </w:style>
  <w:style w:type="character" w:styleId="1" w:customStyle="1">
    <w:name w:val="Подпункт Знак1"/>
    <w:link w:val="Style26"/>
    <w:qFormat/>
    <w:rsid w:val="00c22e8e"/>
    <w:rPr/>
  </w:style>
  <w:style w:type="character" w:styleId="Style3" w:customStyle="1">
    <w:name w:val="Подпункт Знак"/>
    <w:qFormat/>
    <w:rPr>
      <w:sz w:val="28"/>
      <w:lang w:val="ru-RU" w:eastAsia="ru-RU" w:bidi="ar-SA"/>
    </w:rPr>
  </w:style>
  <w:style w:type="character" w:styleId="Style4" w:customStyle="1">
    <w:name w:val="комментарий"/>
    <w:qFormat/>
    <w:rsid w:val="001b3984"/>
    <w:rPr>
      <w:b/>
      <w:i/>
      <w:shd w:fill="FFFF99" w:val="clear"/>
    </w:rPr>
  </w:style>
  <w:style w:type="character" w:styleId="22" w:customStyle="1">
    <w:name w:val="Пункт2 Знак"/>
    <w:qFormat/>
    <w:rsid w:val="007e299e"/>
    <w:rPr>
      <w:b/>
    </w:rPr>
  </w:style>
  <w:style w:type="character" w:styleId="Style5" w:customStyle="1">
    <w:name w:val="Подподпункт Знак"/>
    <w:link w:val="Style27"/>
    <w:qFormat/>
    <w:locked/>
    <w:rsid w:val="001d54b3"/>
    <w:rPr/>
  </w:style>
  <w:style w:type="character" w:styleId="Style6" w:customStyle="1">
    <w:name w:val="Текст выноски Знак"/>
    <w:link w:val="BalloonText"/>
    <w:uiPriority w:val="99"/>
    <w:semiHidden/>
    <w:qFormat/>
    <w:locked/>
    <w:rsid w:val="00a633f7"/>
    <w:rPr>
      <w:rFonts w:ascii="Tahoma" w:hAnsi="Tahoma" w:cs="Tahoma"/>
      <w:sz w:val="16"/>
      <w:szCs w:val="16"/>
    </w:rPr>
  </w:style>
  <w:style w:type="character" w:styleId="Style7" w:customStyle="1">
    <w:name w:val="Основной текст Знак"/>
    <w:qFormat/>
    <w:rsid w:val="009b632e"/>
    <w:rPr>
      <w:sz w:val="28"/>
      <w:szCs w:val="24"/>
    </w:rPr>
  </w:style>
  <w:style w:type="character" w:styleId="Style8" w:customStyle="1">
    <w:name w:val="Текст примечания Знак"/>
    <w:uiPriority w:val="99"/>
    <w:qFormat/>
    <w:locked/>
    <w:rsid w:val="00c32d67"/>
    <w:rPr/>
  </w:style>
  <w:style w:type="character" w:styleId="11" w:customStyle="1">
    <w:name w:val="Пункт Знак1"/>
    <w:uiPriority w:val="99"/>
    <w:qFormat/>
    <w:rPr>
      <w:sz w:val="28"/>
      <w:lang w:val="ru-RU" w:eastAsia="ru-RU" w:bidi="ar-SA"/>
    </w:rPr>
  </w:style>
  <w:style w:type="character" w:styleId="Annotationreference">
    <w:name w:val="annotation reference"/>
    <w:uiPriority w:val="99"/>
    <w:qFormat/>
    <w:rPr>
      <w:sz w:val="16"/>
    </w:rPr>
  </w:style>
  <w:style w:type="character" w:styleId="Style9" w:customStyle="1">
    <w:name w:val="Заголовок Знак"/>
    <w:qFormat/>
    <w:rsid w:val="00b12101"/>
    <w:rPr>
      <w:sz w:val="24"/>
      <w:szCs w:val="24"/>
      <w:lang w:val="x-none" w:eastAsia="x-none"/>
    </w:rPr>
  </w:style>
  <w:style w:type="character" w:styleId="FontStyle29" w:customStyle="1">
    <w:name w:val="Font Style29"/>
    <w:uiPriority w:val="99"/>
    <w:qFormat/>
    <w:rsid w:val="00794ddd"/>
    <w:rPr>
      <w:rFonts w:ascii="Times New Roman" w:hAnsi="Times New Roman" w:cs="Times New Roman"/>
      <w:color w:val="000000"/>
      <w:sz w:val="24"/>
      <w:szCs w:val="24"/>
    </w:rPr>
  </w:style>
  <w:style w:type="character" w:styleId="Style10" w:customStyle="1">
    <w:name w:val="Текст концевой сноски Знак"/>
    <w:qFormat/>
    <w:rsid w:val="006c5b2a"/>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PlaceholderText">
    <w:name w:val="Placeholder Text"/>
    <w:basedOn w:val="DefaultParagraphFont"/>
    <w:uiPriority w:val="99"/>
    <w:semiHidden/>
    <w:qFormat/>
    <w:rsid w:val="005d368e"/>
    <w:rPr>
      <w:color w:val="808080"/>
    </w:rPr>
  </w:style>
  <w:style w:type="character" w:styleId="Blk1" w:customStyle="1">
    <w:name w:val="blk1"/>
    <w:basedOn w:val="DefaultParagraphFont"/>
    <w:qFormat/>
    <w:rsid w:val="00bf069e"/>
    <w:rPr>
      <w:vanish w:val="false"/>
    </w:rPr>
  </w:style>
  <w:style w:type="character" w:styleId="12" w:customStyle="1">
    <w:name w:val="Неразрешенное упоминание1"/>
    <w:basedOn w:val="DefaultParagraphFont"/>
    <w:uiPriority w:val="99"/>
    <w:semiHidden/>
    <w:unhideWhenUsed/>
    <w:qFormat/>
    <w:rsid w:val="00e50f4f"/>
    <w:rPr>
      <w:color w:val="808080"/>
      <w:shd w:fill="E6E6E6" w:val="clear"/>
    </w:rPr>
  </w:style>
  <w:style w:type="character" w:styleId="23" w:customStyle="1">
    <w:name w:val="Неразрешенное упоминание2"/>
    <w:basedOn w:val="DefaultParagraphFont"/>
    <w:uiPriority w:val="99"/>
    <w:semiHidden/>
    <w:unhideWhenUsed/>
    <w:qFormat/>
    <w:rsid w:val="00e50ef9"/>
    <w:rPr>
      <w:color w:val="808080"/>
      <w:shd w:fill="E6E6E6" w:val="clear"/>
    </w:rPr>
  </w:style>
  <w:style w:type="character" w:styleId="3" w:customStyle="1">
    <w:name w:val="Неразрешенное упоминание3"/>
    <w:basedOn w:val="DefaultParagraphFont"/>
    <w:uiPriority w:val="99"/>
    <w:semiHidden/>
    <w:unhideWhenUsed/>
    <w:qFormat/>
    <w:rsid w:val="0014217d"/>
    <w:rPr>
      <w:color w:val="808080"/>
      <w:shd w:fill="E6E6E6" w:val="clear"/>
    </w:rPr>
  </w:style>
  <w:style w:type="character" w:styleId="Style12" w:customStyle="1">
    <w:name w:val="Примечание Знак"/>
    <w:link w:val="Style33"/>
    <w:qFormat/>
    <w:rsid w:val="00345a72"/>
    <w:rPr>
      <w:spacing w:val="20"/>
      <w:sz w:val="24"/>
    </w:rPr>
  </w:style>
  <w:style w:type="character" w:styleId="4" w:customStyle="1">
    <w:name w:val="Неразрешенное упоминание4"/>
    <w:basedOn w:val="DefaultParagraphFont"/>
    <w:uiPriority w:val="99"/>
    <w:semiHidden/>
    <w:unhideWhenUsed/>
    <w:qFormat/>
    <w:rsid w:val="00b1261b"/>
    <w:rPr>
      <w:color w:val="808080"/>
      <w:shd w:fill="E6E6E6" w:val="clear"/>
    </w:rPr>
  </w:style>
  <w:style w:type="character" w:styleId="5" w:customStyle="1">
    <w:name w:val="Неразрешенное упоминание5"/>
    <w:basedOn w:val="DefaultParagraphFont"/>
    <w:uiPriority w:val="99"/>
    <w:semiHidden/>
    <w:unhideWhenUsed/>
    <w:qFormat/>
    <w:rsid w:val="00a842f9"/>
    <w:rPr>
      <w:color w:val="808080"/>
      <w:shd w:fill="E6E6E6" w:val="clear"/>
    </w:rPr>
  </w:style>
  <w:style w:type="character" w:styleId="HTML" w:customStyle="1">
    <w:name w:val="Стандартный HTML Знак"/>
    <w:basedOn w:val="DefaultParagraphFont"/>
    <w:link w:val="HTMLPreformatted"/>
    <w:uiPriority w:val="99"/>
    <w:semiHidden/>
    <w:qFormat/>
    <w:rsid w:val="00c01a39"/>
    <w:rPr>
      <w:rFonts w:ascii="Courier New" w:hAnsi="Courier New" w:cs="Courier New"/>
      <w:sz w:val="20"/>
      <w:szCs w:val="20"/>
    </w:rPr>
  </w:style>
  <w:style w:type="character" w:styleId="Style13" w:customStyle="1">
    <w:name w:val="Абзац списка Знак"/>
    <w:link w:val="ListParagraph"/>
    <w:qFormat/>
    <w:locked/>
    <w:rsid w:val="00720410"/>
    <w:rPr>
      <w:rFonts w:ascii="Geneva CY" w:hAnsi="Geneva CY" w:eastAsia="Geneva"/>
      <w:sz w:val="24"/>
      <w:lang w:eastAsia="en-US"/>
    </w:rPr>
  </w:style>
  <w:style w:type="character" w:styleId="Style14">
    <w:name w:val="Ссылка указателя"/>
    <w:qFormat/>
    <w:rPr/>
  </w:style>
  <w:style w:type="character" w:styleId="24" w:customStyle="1">
    <w:name w:val="Пункт2"/>
    <w:link w:val="Style25"/>
    <w:qFormat/>
    <w:rsid w:val="007d5454"/>
    <w:rPr/>
  </w:style>
  <w:style w:type="character" w:styleId="211" w:customStyle="1">
    <w:name w:val="Пункт21"/>
    <w:qFormat/>
    <w:rsid w:val="007e299e"/>
    <w:rPr>
      <w:b/>
    </w:rPr>
  </w:style>
  <w:style w:type="character" w:styleId="2111" w:customStyle="1">
    <w:name w:val="Пункт211"/>
    <w:qFormat/>
    <w:rsid w:val="007e299e"/>
    <w:rPr>
      <w:b/>
    </w:rPr>
  </w:style>
  <w:style w:type="character" w:styleId="21111" w:customStyle="1">
    <w:name w:val="Пункт2111"/>
    <w:qFormat/>
    <w:rsid w:val="007e299e"/>
    <w:rPr>
      <w:b/>
    </w:rPr>
  </w:style>
  <w:style w:type="character" w:styleId="211111" w:customStyle="1">
    <w:name w:val="Пункт21111"/>
    <w:qFormat/>
    <w:rsid w:val="007e299e"/>
    <w:rPr>
      <w:b/>
    </w:rPr>
  </w:style>
  <w:style w:type="character" w:styleId="2111111" w:customStyle="1">
    <w:name w:val="Пункт211111"/>
    <w:qFormat/>
    <w:rsid w:val="007e299e"/>
    <w:rPr>
      <w:b/>
    </w:rPr>
  </w:style>
  <w:style w:type="character" w:styleId="21111111" w:customStyle="1">
    <w:name w:val="Пункт2111111"/>
    <w:qFormat/>
    <w:rsid w:val="007e299e"/>
    <w:rPr>
      <w:b/>
    </w:rPr>
  </w:style>
  <w:style w:type="character" w:styleId="Linenumber1" w:customStyle="1">
    <w:name w:val="line number1"/>
    <w:qFormat/>
    <w:rPr/>
  </w:style>
  <w:style w:type="character" w:styleId="211111111" w:customStyle="1">
    <w:name w:val="Пункт21111111"/>
    <w:qFormat/>
    <w:rsid w:val="007e299e"/>
    <w:rPr>
      <w:b/>
    </w:rPr>
  </w:style>
  <w:style w:type="character" w:styleId="2111111111" w:customStyle="1">
    <w:name w:val="Пункт211111111"/>
    <w:qFormat/>
    <w:rsid w:val="007e299e"/>
    <w:rPr>
      <w:b/>
    </w:rPr>
  </w:style>
  <w:style w:type="character" w:styleId="Linenumber">
    <w:name w:val="line number"/>
    <w:qFormat/>
    <w:rPr/>
  </w:style>
  <w:style w:type="character" w:styleId="21111111111" w:customStyle="1">
    <w:name w:val="Пункт2111111111"/>
    <w:qFormat/>
    <w:rsid w:val="007e299e"/>
    <w:rPr>
      <w:b/>
    </w:rPr>
  </w:style>
  <w:style w:type="character" w:styleId="211111111111" w:customStyle="1">
    <w:name w:val="Пункт21111111111"/>
    <w:link w:val="211111111111111"/>
    <w:qFormat/>
    <w:rsid w:val="007e299e"/>
    <w:rPr>
      <w:b/>
    </w:rPr>
  </w:style>
  <w:style w:type="character" w:styleId="2111111111111" w:customStyle="1">
    <w:name w:val="Пункт211111111111"/>
    <w:link w:val="211111111111111"/>
    <w:qFormat/>
    <w:rsid w:val="007e299e"/>
    <w:rPr>
      <w:b/>
    </w:rPr>
  </w:style>
  <w:style w:type="character" w:styleId="21111111111111" w:customStyle="1">
    <w:name w:val="Пункт2111111111111"/>
    <w:link w:val="211111111111111"/>
    <w:qFormat/>
    <w:rsid w:val="007e299e"/>
    <w:rPr>
      <w:b/>
    </w:rPr>
  </w:style>
  <w:style w:type="paragraph" w:styleId="Style15">
    <w:name w:val="Заголовок"/>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link w:val="Style7"/>
    <w:pPr>
      <w:tabs>
        <w:tab w:val="clear" w:pos="567"/>
        <w:tab w:val="right" w:pos="9360" w:leader="none"/>
      </w:tabs>
      <w:jc w:val="left"/>
    </w:pPr>
    <w:rPr>
      <w:szCs w:val="24"/>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Noto Sans Devanagari"/>
    </w:rPr>
  </w:style>
  <w:style w:type="paragraph" w:styleId="Caption1">
    <w:name w:val="caption1"/>
    <w:basedOn w:val="Normal"/>
    <w:qFormat/>
    <w:pPr>
      <w:suppressLineNumbers/>
      <w:spacing w:before="120" w:after="120"/>
    </w:pPr>
    <w:rPr>
      <w:rFonts w:cs="Arial Unicode MS"/>
      <w:i/>
      <w:iCs/>
      <w:sz w:val="24"/>
      <w:szCs w:val="24"/>
    </w:rPr>
  </w:style>
  <w:style w:type="paragraph" w:styleId="Caption11">
    <w:name w:val="caption11"/>
    <w:basedOn w:val="Normal"/>
    <w:qFormat/>
    <w:pPr>
      <w:suppressLineNumbers/>
      <w:spacing w:before="120" w:after="120"/>
    </w:pPr>
    <w:rPr>
      <w:i/>
      <w:iCs/>
      <w:sz w:val="24"/>
      <w:szCs w:val="24"/>
    </w:rPr>
  </w:style>
  <w:style w:type="paragraph" w:styleId="Title">
    <w:name w:val="Title"/>
    <w:basedOn w:val="Normal"/>
    <w:next w:val="BodyText"/>
    <w:link w:val="Style9"/>
    <w:qFormat/>
    <w:rsid w:val="00b12101"/>
    <w:pPr>
      <w:jc w:val="center"/>
    </w:pPr>
    <w:rPr>
      <w:sz w:val="24"/>
      <w:szCs w:val="24"/>
      <w:lang w:val="x-none" w:eastAsia="x-none"/>
    </w:rPr>
  </w:style>
  <w:style w:type="paragraph" w:styleId="Indexheading">
    <w:name w:val="index heading"/>
    <w:basedOn w:val="Normal"/>
    <w:qFormat/>
    <w:pPr>
      <w:suppressLineNumbers/>
    </w:pPr>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Style17" w:customStyle="1">
    <w:name w:val="Колонтитул"/>
    <w:basedOn w:val="Normal"/>
    <w:qFormat/>
    <w:pPr/>
    <w:rPr/>
  </w:style>
  <w:style w:type="paragraph" w:styleId="Style18">
    <w:name w:val="Колонтитулы"/>
    <w:basedOn w:val="Normal"/>
    <w:qFormat/>
    <w:pPr/>
    <w:rPr/>
  </w:style>
  <w:style w:type="paragraph" w:styleId="Header">
    <w:name w:val="Header"/>
    <w:basedOn w:val="Normal"/>
    <w:pPr>
      <w:pBdr>
        <w:bottom w:val="single" w:sz="4" w:space="1" w:color="000000"/>
      </w:pBdr>
      <w:tabs>
        <w:tab w:val="clear" w:pos="567"/>
        <w:tab w:val="center" w:pos="4153" w:leader="none"/>
        <w:tab w:val="right" w:pos="8306" w:leader="none"/>
      </w:tabs>
      <w:jc w:val="center"/>
    </w:pPr>
    <w:rPr>
      <w:i/>
      <w:sz w:val="20"/>
    </w:rPr>
  </w:style>
  <w:style w:type="paragraph" w:styleId="Footer">
    <w:name w:val="Footer"/>
    <w:basedOn w:val="Normal"/>
    <w:pPr>
      <w:tabs>
        <w:tab w:val="clear" w:pos="567"/>
        <w:tab w:val="center" w:pos="4253" w:leader="none"/>
        <w:tab w:val="right" w:pos="9356" w:leader="none"/>
      </w:tabs>
    </w:pPr>
    <w:rPr>
      <w:sz w:val="20"/>
    </w:rPr>
  </w:style>
  <w:style w:type="paragraph" w:styleId="TOC1">
    <w:name w:val="TOC 1"/>
    <w:basedOn w:val="Normal"/>
    <w:next w:val="Normal"/>
    <w:autoRedefine/>
    <w:uiPriority w:val="39"/>
    <w:rsid w:val="00ef6297"/>
    <w:pPr>
      <w:tabs>
        <w:tab w:val="clear" w:pos="567"/>
        <w:tab w:val="left" w:pos="540" w:leader="none"/>
        <w:tab w:val="right" w:pos="10195" w:leader="dot"/>
      </w:tabs>
      <w:spacing w:before="240" w:after="120"/>
      <w:ind w:left="539" w:right="1134" w:hanging="539"/>
      <w:jc w:val="left"/>
    </w:pPr>
    <w:rPr>
      <w:b/>
      <w:bCs/>
      <w:caps/>
    </w:rPr>
  </w:style>
  <w:style w:type="paragraph" w:styleId="TOC2">
    <w:name w:val="TOC 2"/>
    <w:basedOn w:val="Normal"/>
    <w:next w:val="Normal"/>
    <w:autoRedefine/>
    <w:uiPriority w:val="39"/>
    <w:rsid w:val="00a842f9"/>
    <w:pPr>
      <w:tabs>
        <w:tab w:val="clear" w:pos="567"/>
        <w:tab w:val="left" w:pos="1134" w:leader="none"/>
        <w:tab w:val="right" w:pos="10195" w:leader="dot"/>
      </w:tabs>
      <w:spacing w:before="120" w:after="60"/>
      <w:ind w:left="1134" w:right="845" w:hanging="595"/>
      <w:jc w:val="left"/>
    </w:pPr>
    <w:rPr>
      <w:b/>
      <w:sz w:val="24"/>
      <w:szCs w:val="32"/>
    </w:rPr>
  </w:style>
  <w:style w:type="paragraph" w:styleId="TOC3">
    <w:name w:val="TOC 3"/>
    <w:basedOn w:val="Normal"/>
    <w:next w:val="Normal"/>
    <w:autoRedefine/>
    <w:uiPriority w:val="39"/>
    <w:rsid w:val="001d3d1b"/>
    <w:pPr>
      <w:tabs>
        <w:tab w:val="clear" w:pos="567"/>
        <w:tab w:val="left" w:pos="1980" w:leader="none"/>
        <w:tab w:val="right" w:pos="10195" w:leader="dot"/>
      </w:tabs>
      <w:spacing w:before="120" w:after="60"/>
      <w:ind w:left="1979" w:right="1134" w:hanging="902"/>
      <w:jc w:val="left"/>
    </w:pPr>
    <w:rPr>
      <w:iCs/>
      <w:sz w:val="24"/>
      <w:szCs w:val="24"/>
    </w:rPr>
  </w:style>
  <w:style w:type="paragraph" w:styleId="TOC4">
    <w:name w:val="TOC 4"/>
    <w:basedOn w:val="Normal"/>
    <w:next w:val="Normal"/>
    <w:autoRedefine/>
    <w:uiPriority w:val="39"/>
    <w:pPr>
      <w:tabs>
        <w:tab w:val="clear" w:pos="567"/>
        <w:tab w:val="left" w:pos="2268" w:leader="none"/>
        <w:tab w:val="right" w:pos="10195" w:leader="dot"/>
      </w:tabs>
      <w:spacing w:before="120" w:after="60"/>
      <w:ind w:left="2268" w:right="1134" w:hanging="567"/>
      <w:jc w:val="left"/>
    </w:pPr>
    <w:rPr>
      <w:sz w:val="24"/>
      <w:szCs w:val="24"/>
    </w:rPr>
  </w:style>
  <w:style w:type="paragraph" w:styleId="DocumentMap">
    <w:name w:val="Document Map"/>
    <w:basedOn w:val="Normal"/>
    <w:semiHidden/>
    <w:qFormat/>
    <w:pPr>
      <w:shd w:val="clear" w:color="auto" w:fill="000080"/>
    </w:pPr>
    <w:rPr>
      <w:rFonts w:ascii="Tahoma" w:hAnsi="Tahoma"/>
      <w:sz w:val="20"/>
    </w:rPr>
  </w:style>
  <w:style w:type="paragraph" w:styleId="Style19" w:customStyle="1">
    <w:name w:val="Таблица шапка"/>
    <w:basedOn w:val="Normal"/>
    <w:qFormat/>
    <w:pPr>
      <w:keepNext w:val="true"/>
      <w:spacing w:before="40" w:after="40"/>
      <w:ind w:left="57" w:right="57" w:hanging="0"/>
      <w:jc w:val="left"/>
    </w:pPr>
    <w:rPr>
      <w:sz w:val="22"/>
    </w:rPr>
  </w:style>
  <w:style w:type="paragraph" w:styleId="FootnoteText">
    <w:name w:val="Footnote Text"/>
    <w:basedOn w:val="Normal"/>
    <w:link w:val="Style1"/>
    <w:uiPriority w:val="99"/>
    <w:pPr/>
    <w:rPr>
      <w:sz w:val="20"/>
    </w:rPr>
  </w:style>
  <w:style w:type="paragraph" w:styleId="Style20" w:customStyle="1">
    <w:name w:val="Таблица текст"/>
    <w:basedOn w:val="Normal"/>
    <w:qFormat/>
    <w:pPr>
      <w:spacing w:before="40" w:after="40"/>
      <w:ind w:left="57" w:right="57" w:hanging="0"/>
      <w:jc w:val="left"/>
    </w:pPr>
    <w:rPr>
      <w:sz w:val="24"/>
    </w:rPr>
  </w:style>
  <w:style w:type="paragraph" w:styleId="Caption11111111" w:customStyle="1">
    <w:name w:val="caption11111111"/>
    <w:basedOn w:val="Normal"/>
    <w:next w:val="Normal"/>
    <w:qFormat/>
    <w:pPr>
      <w:pageBreakBefore/>
      <w:spacing w:before="120" w:after="120"/>
    </w:pPr>
    <w:rPr>
      <w:bCs/>
      <w:i/>
      <w:sz w:val="24"/>
    </w:rPr>
  </w:style>
  <w:style w:type="paragraph" w:styleId="TOC5">
    <w:name w:val="TOC 5"/>
    <w:basedOn w:val="Normal"/>
    <w:next w:val="Normal"/>
    <w:autoRedefine/>
    <w:uiPriority w:val="39"/>
    <w:pPr>
      <w:ind w:left="1120" w:hanging="0"/>
      <w:jc w:val="left"/>
    </w:pPr>
    <w:rPr>
      <w:sz w:val="18"/>
      <w:szCs w:val="18"/>
    </w:rPr>
  </w:style>
  <w:style w:type="paragraph" w:styleId="TOC6">
    <w:name w:val="TOC 6"/>
    <w:basedOn w:val="Normal"/>
    <w:next w:val="Normal"/>
    <w:autoRedefine/>
    <w:uiPriority w:val="39"/>
    <w:pPr>
      <w:ind w:left="1400" w:hanging="0"/>
      <w:jc w:val="left"/>
    </w:pPr>
    <w:rPr>
      <w:sz w:val="18"/>
      <w:szCs w:val="18"/>
    </w:rPr>
  </w:style>
  <w:style w:type="paragraph" w:styleId="TOC7">
    <w:name w:val="TOC 7"/>
    <w:basedOn w:val="Normal"/>
    <w:next w:val="Normal"/>
    <w:autoRedefine/>
    <w:uiPriority w:val="39"/>
    <w:pPr>
      <w:ind w:left="1680" w:hanging="0"/>
      <w:jc w:val="left"/>
    </w:pPr>
    <w:rPr>
      <w:sz w:val="18"/>
      <w:szCs w:val="18"/>
    </w:rPr>
  </w:style>
  <w:style w:type="paragraph" w:styleId="TOC8">
    <w:name w:val="TOC 8"/>
    <w:basedOn w:val="Normal"/>
    <w:next w:val="Normal"/>
    <w:autoRedefine/>
    <w:uiPriority w:val="39"/>
    <w:pPr>
      <w:ind w:left="1960" w:hanging="0"/>
      <w:jc w:val="left"/>
    </w:pPr>
    <w:rPr>
      <w:sz w:val="18"/>
      <w:szCs w:val="18"/>
    </w:rPr>
  </w:style>
  <w:style w:type="paragraph" w:styleId="TOC9">
    <w:name w:val="TOC 9"/>
    <w:basedOn w:val="Normal"/>
    <w:next w:val="Normal"/>
    <w:autoRedefine/>
    <w:uiPriority w:val="39"/>
    <w:pPr>
      <w:ind w:left="2240" w:hanging="0"/>
      <w:jc w:val="left"/>
    </w:pPr>
    <w:rPr>
      <w:sz w:val="18"/>
      <w:szCs w:val="18"/>
    </w:rPr>
  </w:style>
  <w:style w:type="paragraph" w:styleId="Style21" w:customStyle="1">
    <w:name w:val="Служебный"/>
    <w:basedOn w:val="Style22"/>
    <w:qFormat/>
    <w:pPr/>
    <w:rPr/>
  </w:style>
  <w:style w:type="paragraph" w:styleId="Style22" w:customStyle="1">
    <w:name w:val="Главы"/>
    <w:basedOn w:val="Style23"/>
    <w:next w:val="Normal"/>
    <w:qFormat/>
    <w:pPr>
      <w:pBdr>
        <w:bottom w:val="nil"/>
      </w:pBdr>
      <w:tabs>
        <w:tab w:val="clear" w:pos="567"/>
        <w:tab w:val="clear" w:pos="851"/>
      </w:tabs>
      <w:spacing w:lineRule="auto" w:line="360" w:before="1440" w:after="720"/>
      <w:ind w:left="0" w:right="0" w:hanging="0"/>
      <w:jc w:val="center"/>
    </w:pPr>
    <w:rPr>
      <w:spacing w:val="40"/>
      <w:sz w:val="44"/>
      <w:szCs w:val="44"/>
    </w:rPr>
  </w:style>
  <w:style w:type="paragraph" w:styleId="Style23" w:customStyle="1">
    <w:name w:val="Структура"/>
    <w:basedOn w:val="Normal"/>
    <w:qFormat/>
    <w:pPr>
      <w:pageBreakBefore/>
      <w:pBdr>
        <w:bottom w:val="thinThickSmallGap" w:sz="24" w:space="1" w:color="000000"/>
      </w:pBdr>
      <w:tabs>
        <w:tab w:val="left" w:pos="567" w:leader="none"/>
        <w:tab w:val="left" w:pos="851" w:leader="none"/>
      </w:tabs>
      <w:spacing w:before="480" w:after="240"/>
      <w:ind w:left="567" w:right="2835" w:hanging="567"/>
      <w:jc w:val="left"/>
      <w:outlineLvl w:val="0"/>
    </w:pPr>
    <w:rPr>
      <w:rFonts w:ascii="Arial" w:hAnsi="Arial" w:cs="Arial"/>
      <w:b/>
      <w:caps/>
      <w:sz w:val="36"/>
      <w:szCs w:val="36"/>
    </w:rPr>
  </w:style>
  <w:style w:type="paragraph" w:styleId="Style24" w:customStyle="1">
    <w:name w:val="маркированный"/>
    <w:basedOn w:val="Normal"/>
    <w:semiHidden/>
    <w:qFormat/>
    <w:pPr>
      <w:tabs>
        <w:tab w:val="clear" w:pos="567"/>
        <w:tab w:val="left" w:pos="1701" w:leader="none"/>
      </w:tabs>
      <w:ind w:left="1701" w:hanging="567"/>
    </w:pPr>
    <w:rPr/>
  </w:style>
  <w:style w:type="paragraph" w:styleId="Style25" w:customStyle="1">
    <w:name w:val="Пункт"/>
    <w:basedOn w:val="Normal"/>
    <w:link w:val="24"/>
    <w:qFormat/>
    <w:rsid w:val="001b3984"/>
    <w:pPr>
      <w:numPr>
        <w:ilvl w:val="2"/>
        <w:numId w:val="3"/>
      </w:numPr>
    </w:pPr>
    <w:rPr/>
  </w:style>
  <w:style w:type="paragraph" w:styleId="Style26" w:customStyle="1">
    <w:name w:val="Подпункт"/>
    <w:basedOn w:val="Style25"/>
    <w:link w:val="1"/>
    <w:qFormat/>
    <w:rsid w:val="001b3984"/>
    <w:pPr/>
    <w:rPr/>
  </w:style>
  <w:style w:type="paragraph" w:styleId="211111111111111" w:customStyle="1">
    <w:name w:val="Пункт21111111111111"/>
    <w:basedOn w:val="Normal"/>
    <w:next w:val="Normal"/>
    <w:link w:val="211111111111"/>
    <w:qFormat/>
    <w:rsid w:val="001b3984"/>
    <w:pPr>
      <w:keepNext w:val="true"/>
      <w:spacing w:before="360" w:after="120"/>
      <w:jc w:val="left"/>
      <w:outlineLvl w:val="1"/>
    </w:pPr>
    <w:rPr>
      <w:b/>
      <w:sz w:val="32"/>
    </w:rPr>
  </w:style>
  <w:style w:type="paragraph" w:styleId="Style27" w:customStyle="1">
    <w:name w:val="Подподпункт"/>
    <w:basedOn w:val="Style26"/>
    <w:link w:val="Style5"/>
    <w:qFormat/>
    <w:pPr/>
    <w:rPr/>
  </w:style>
  <w:style w:type="paragraph" w:styleId="ListNumber">
    <w:name w:val="List Number"/>
    <w:basedOn w:val="Normal"/>
    <w:qFormat/>
    <w:pPr>
      <w:tabs>
        <w:tab w:val="clear" w:pos="567"/>
        <w:tab w:val="left" w:pos="1134" w:leader="none"/>
      </w:tabs>
      <w:spacing w:before="60" w:after="0"/>
    </w:pPr>
    <w:rPr>
      <w:szCs w:val="24"/>
    </w:rPr>
  </w:style>
  <w:style w:type="paragraph" w:styleId="Style28" w:customStyle="1">
    <w:name w:val="Текст таблицы"/>
    <w:basedOn w:val="Normal"/>
    <w:semiHidden/>
    <w:qFormat/>
    <w:pPr>
      <w:spacing w:before="40" w:after="40"/>
      <w:ind w:left="57" w:right="57" w:hanging="0"/>
      <w:jc w:val="left"/>
    </w:pPr>
    <w:rPr>
      <w:sz w:val="24"/>
      <w:szCs w:val="24"/>
    </w:rPr>
  </w:style>
  <w:style w:type="paragraph" w:styleId="Style29" w:customStyle="1">
    <w:name w:val="Пункт б/н"/>
    <w:basedOn w:val="Normal"/>
    <w:qFormat/>
    <w:pPr>
      <w:tabs>
        <w:tab w:val="clear" w:pos="567"/>
        <w:tab w:val="left" w:pos="1134" w:leader="none"/>
      </w:tabs>
    </w:pPr>
    <w:rPr/>
  </w:style>
  <w:style w:type="paragraph" w:styleId="ListBullet">
    <w:name w:val="List Bullet"/>
    <w:basedOn w:val="Normal"/>
    <w:autoRedefine/>
    <w:qFormat/>
    <w:pPr>
      <w:tabs>
        <w:tab w:val="clear" w:pos="567"/>
        <w:tab w:val="left" w:pos="360" w:leader="none"/>
      </w:tabs>
      <w:ind w:left="360" w:hanging="360"/>
    </w:pPr>
    <w:rPr/>
  </w:style>
  <w:style w:type="paragraph" w:styleId="BalloonText">
    <w:name w:val="Balloon Text"/>
    <w:basedOn w:val="Normal"/>
    <w:link w:val="Style6"/>
    <w:uiPriority w:val="99"/>
    <w:semiHidden/>
    <w:qFormat/>
    <w:pPr/>
    <w:rPr>
      <w:rFonts w:ascii="Tahoma" w:hAnsi="Tahoma" w:cs="Tahoma"/>
      <w:sz w:val="16"/>
      <w:szCs w:val="16"/>
    </w:rPr>
  </w:style>
  <w:style w:type="paragraph" w:styleId="Annotationtext">
    <w:name w:val="annotation text"/>
    <w:basedOn w:val="Normal"/>
    <w:link w:val="Style8"/>
    <w:uiPriority w:val="99"/>
    <w:qFormat/>
    <w:pPr/>
    <w:rPr>
      <w:sz w:val="20"/>
    </w:rPr>
  </w:style>
  <w:style w:type="paragraph" w:styleId="Annotationsubject">
    <w:name w:val="annotation subject"/>
    <w:basedOn w:val="Annotationtext"/>
    <w:next w:val="Annotationtext"/>
    <w:semiHidden/>
    <w:qFormat/>
    <w:pPr/>
    <w:rPr>
      <w:b/>
      <w:bCs/>
    </w:rPr>
  </w:style>
  <w:style w:type="paragraph" w:styleId="BodyText3">
    <w:name w:val="Body Text 3"/>
    <w:basedOn w:val="Normal"/>
    <w:qFormat/>
    <w:pPr>
      <w:spacing w:before="120" w:after="120"/>
    </w:pPr>
    <w:rPr>
      <w:sz w:val="16"/>
      <w:szCs w:val="16"/>
    </w:rPr>
  </w:style>
  <w:style w:type="paragraph" w:styleId="Style30" w:customStyle="1">
    <w:name w:val="Подподподподпункт"/>
    <w:basedOn w:val="Normal"/>
    <w:qFormat/>
    <w:pPr>
      <w:tabs>
        <w:tab w:val="clear" w:pos="567"/>
        <w:tab w:val="left" w:pos="2835" w:leader="none"/>
      </w:tabs>
      <w:ind w:left="2835" w:hanging="567"/>
    </w:pPr>
    <w:rPr/>
  </w:style>
  <w:style w:type="paragraph" w:styleId="Style31" w:customStyle="1">
    <w:name w:val="Подподподпункт"/>
    <w:basedOn w:val="Normal"/>
    <w:qFormat/>
    <w:pPr>
      <w:tabs>
        <w:tab w:val="clear" w:pos="567"/>
        <w:tab w:val="left" w:pos="2268" w:leader="none"/>
      </w:tabs>
      <w:ind w:left="2268" w:hanging="567"/>
    </w:pPr>
    <w:rPr/>
  </w:style>
  <w:style w:type="paragraph" w:styleId="BodyTextIndent">
    <w:name w:val="Body Text Indent"/>
    <w:basedOn w:val="Normal"/>
    <w:pPr>
      <w:ind w:firstLine="485"/>
    </w:pPr>
    <w:rPr>
      <w:i/>
      <w:color w:val="000000"/>
      <w:szCs w:val="28"/>
    </w:rPr>
  </w:style>
  <w:style w:type="paragraph" w:styleId="Normal1" w:customStyle="1">
    <w:name w:val="Normal Знак"/>
    <w:qFormat/>
    <w:rsid w:val="00b12101"/>
    <w:pPr>
      <w:widowControl w:val="false"/>
      <w:suppressAutoHyphens w:val="true"/>
      <w:bidi w:val="0"/>
      <w:snapToGrid w:val="false"/>
      <w:spacing w:lineRule="auto" w:line="300" w:before="220" w:after="0"/>
      <w:ind w:firstLine="20"/>
      <w:jc w:val="both"/>
    </w:pPr>
    <w:rPr>
      <w:rFonts w:ascii="Times New Roman" w:hAnsi="Times New Roman" w:eastAsia="Times New Roman" w:cs="Times New Roman"/>
      <w:color w:val="auto"/>
      <w:kern w:val="0"/>
      <w:sz w:val="22"/>
      <w:szCs w:val="26"/>
      <w:lang w:val="ru-RU" w:eastAsia="ru-RU" w:bidi="ar-SA"/>
    </w:rPr>
  </w:style>
  <w:style w:type="paragraph" w:styleId="ListParagraph">
    <w:name w:val="List Paragraph"/>
    <w:basedOn w:val="Normal"/>
    <w:link w:val="Style13"/>
    <w:qFormat/>
    <w:rsid w:val="00b12101"/>
    <w:pPr>
      <w:spacing w:before="120" w:after="0"/>
      <w:ind w:left="720" w:hanging="0"/>
      <w:contextualSpacing/>
      <w:jc w:val="left"/>
    </w:pPr>
    <w:rPr>
      <w:rFonts w:ascii="Geneva CY" w:hAnsi="Geneva CY" w:eastAsia="Geneva"/>
      <w:sz w:val="24"/>
      <w:lang w:eastAsia="en-US"/>
    </w:rPr>
  </w:style>
  <w:style w:type="paragraph" w:styleId="31" w:customStyle="1">
    <w:name w:val="Основной текст3"/>
    <w:basedOn w:val="Normal"/>
    <w:qFormat/>
    <w:rsid w:val="00225238"/>
    <w:pPr>
      <w:shd w:val="clear" w:color="auto" w:fill="FFFFFF"/>
      <w:spacing w:lineRule="exact" w:line="192"/>
      <w:ind w:hanging="380"/>
      <w:jc w:val="right"/>
    </w:pPr>
    <w:rPr>
      <w:sz w:val="21"/>
      <w:szCs w:val="21"/>
    </w:rPr>
  </w:style>
  <w:style w:type="paragraph" w:styleId="Tableheader" w:customStyle="1">
    <w:name w:val="Table_header"/>
    <w:basedOn w:val="Normal"/>
    <w:qFormat/>
    <w:rsid w:val="001d54b3"/>
    <w:pPr/>
    <w:rPr>
      <w:b/>
      <w:sz w:val="20"/>
      <w:szCs w:val="24"/>
    </w:rPr>
  </w:style>
  <w:style w:type="paragraph" w:styleId="Tabletext" w:customStyle="1">
    <w:name w:val="Table_text"/>
    <w:basedOn w:val="Normal"/>
    <w:qFormat/>
    <w:rsid w:val="001d54b3"/>
    <w:pPr/>
    <w:rPr>
      <w:sz w:val="20"/>
      <w:szCs w:val="24"/>
    </w:rPr>
  </w:style>
  <w:style w:type="paragraph" w:styleId="Times12" w:customStyle="1">
    <w:name w:val="Times 12"/>
    <w:basedOn w:val="Normal"/>
    <w:qFormat/>
    <w:rsid w:val="007d41ef"/>
    <w:pPr/>
    <w:rPr>
      <w:bCs/>
      <w:sz w:val="24"/>
      <w:szCs w:val="22"/>
    </w:rPr>
  </w:style>
  <w:style w:type="paragraph" w:styleId="ConsPlusNonformat" w:customStyle="1">
    <w:name w:val="ConsPlusNonformat"/>
    <w:uiPriority w:val="99"/>
    <w:qFormat/>
    <w:rsid w:val="00793eb5"/>
    <w:pPr>
      <w:widowControl/>
      <w:suppressAutoHyphens w:val="true"/>
      <w:bidi w:val="0"/>
      <w:spacing w:before="120" w:after="0"/>
      <w:jc w:val="both"/>
    </w:pPr>
    <w:rPr>
      <w:rFonts w:ascii="Courier New" w:hAnsi="Courier New" w:eastAsia="Times New Roman" w:cs="Courier New"/>
      <w:color w:val="auto"/>
      <w:kern w:val="0"/>
      <w:sz w:val="26"/>
      <w:szCs w:val="26"/>
      <w:lang w:val="ru-RU" w:eastAsia="ru-RU" w:bidi="ar-SA"/>
    </w:rPr>
  </w:style>
  <w:style w:type="paragraph" w:styleId="32" w:customStyle="1">
    <w:name w:val="Пункт_3"/>
    <w:basedOn w:val="Normal"/>
    <w:qFormat/>
    <w:rsid w:val="0003611d"/>
    <w:pPr>
      <w:tabs>
        <w:tab w:val="clear" w:pos="567"/>
        <w:tab w:val="left" w:pos="1134" w:leader="none"/>
      </w:tabs>
      <w:ind w:left="1134" w:hanging="1133"/>
    </w:pPr>
    <w:rPr/>
  </w:style>
  <w:style w:type="paragraph" w:styleId="EndnoteText">
    <w:name w:val="Endnote Text"/>
    <w:basedOn w:val="Normal"/>
    <w:link w:val="Style10"/>
    <w:rsid w:val="006c5b2a"/>
    <w:pPr/>
    <w:rPr>
      <w:sz w:val="20"/>
    </w:rPr>
  </w:style>
  <w:style w:type="paragraph" w:styleId="13" w:customStyle="1">
    <w:name w:val="Пункт1"/>
    <w:basedOn w:val="Normal"/>
    <w:qFormat/>
    <w:rsid w:val="00910068"/>
    <w:pPr>
      <w:numPr>
        <w:ilvl w:val="0"/>
        <w:numId w:val="4"/>
      </w:numPr>
      <w:spacing w:before="240" w:after="0"/>
      <w:jc w:val="center"/>
    </w:pPr>
    <w:rPr>
      <w:rFonts w:ascii="Arial" w:hAnsi="Arial"/>
      <w:b/>
      <w:szCs w:val="28"/>
    </w:rPr>
  </w:style>
  <w:style w:type="paragraph" w:styleId="Revision">
    <w:name w:val="Revision"/>
    <w:uiPriority w:val="99"/>
    <w:semiHidden/>
    <w:qFormat/>
    <w:rsid w:val="00e21873"/>
    <w:pPr>
      <w:widowControl/>
      <w:suppressAutoHyphens w:val="true"/>
      <w:bidi w:val="0"/>
      <w:spacing w:before="120" w:after="0"/>
      <w:jc w:val="both"/>
    </w:pPr>
    <w:rPr>
      <w:rFonts w:ascii="Times New Roman" w:hAnsi="Times New Roman" w:eastAsia="Times New Roman" w:cs="Times New Roman"/>
      <w:color w:val="auto"/>
      <w:kern w:val="0"/>
      <w:sz w:val="28"/>
      <w:szCs w:val="26"/>
      <w:lang w:val="ru-RU" w:eastAsia="ru-RU" w:bidi="ar-SA"/>
    </w:rPr>
  </w:style>
  <w:style w:type="paragraph" w:styleId="Stzag1" w:customStyle="1">
    <w:name w:val="st_zag1"/>
    <w:basedOn w:val="Normal"/>
    <w:next w:val="Normal"/>
    <w:qFormat/>
    <w:rsid w:val="00785c46"/>
    <w:pPr>
      <w:numPr>
        <w:ilvl w:val="0"/>
        <w:numId w:val="5"/>
      </w:numPr>
      <w:jc w:val="center"/>
    </w:pPr>
    <w:rPr>
      <w:rFonts w:ascii="Arial" w:hAnsi="Arial"/>
      <w:b/>
      <w:sz w:val="36"/>
      <w:szCs w:val="28"/>
    </w:rPr>
  </w:style>
  <w:style w:type="paragraph" w:styleId="Sttext12" w:customStyle="1">
    <w:name w:val="st_text12"/>
    <w:basedOn w:val="Normal"/>
    <w:qFormat/>
    <w:rsid w:val="00785c46"/>
    <w:pPr>
      <w:tabs>
        <w:tab w:val="clear" w:pos="567"/>
        <w:tab w:val="left" w:pos="576" w:leader="none"/>
      </w:tabs>
      <w:ind w:left="576" w:hanging="576"/>
    </w:pPr>
    <w:rPr>
      <w:szCs w:val="28"/>
    </w:rPr>
  </w:style>
  <w:style w:type="paragraph" w:styleId="Sttext123" w:customStyle="1">
    <w:name w:val="st_text123"/>
    <w:basedOn w:val="Normal"/>
    <w:qFormat/>
    <w:rsid w:val="00785c46"/>
    <w:pPr>
      <w:tabs>
        <w:tab w:val="clear" w:pos="567"/>
        <w:tab w:val="left" w:pos="720" w:leader="none"/>
      </w:tabs>
      <w:ind w:left="720" w:hanging="720"/>
    </w:pPr>
    <w:rPr>
      <w:szCs w:val="28"/>
    </w:rPr>
  </w:style>
  <w:style w:type="paragraph" w:styleId="Sttext1234" w:customStyle="1">
    <w:name w:val="st_text1234"/>
    <w:basedOn w:val="Normal"/>
    <w:qFormat/>
    <w:rsid w:val="00785c46"/>
    <w:pPr>
      <w:tabs>
        <w:tab w:val="clear" w:pos="567"/>
        <w:tab w:val="left" w:pos="864" w:leader="none"/>
      </w:tabs>
      <w:ind w:left="864" w:hanging="864"/>
    </w:pPr>
    <w:rPr>
      <w:szCs w:val="28"/>
    </w:rPr>
  </w:style>
  <w:style w:type="paragraph" w:styleId="14" w:customStyle="1">
    <w:name w:val="Заголовок1"/>
    <w:basedOn w:val="Normal"/>
    <w:qFormat/>
    <w:rsid w:val="00a633f7"/>
    <w:pPr>
      <w:tabs>
        <w:tab w:val="left" w:pos="567" w:leader="none"/>
      </w:tabs>
      <w:spacing w:before="240" w:after="0"/>
      <w:ind w:left="567" w:hanging="279"/>
      <w:jc w:val="center"/>
    </w:pPr>
    <w:rPr>
      <w:b/>
      <w:szCs w:val="28"/>
    </w:rPr>
  </w:style>
  <w:style w:type="paragraph" w:styleId="Style32" w:customStyle="1">
    <w:name w:val="русгидро п.п.п.п."/>
    <w:basedOn w:val="Normal"/>
    <w:qFormat/>
    <w:rsid w:val="00a633f7"/>
    <w:pPr>
      <w:tabs>
        <w:tab w:val="clear" w:pos="567"/>
        <w:tab w:val="left" w:pos="1843" w:leader="none"/>
        <w:tab w:val="left" w:pos="2269" w:leader="none"/>
      </w:tabs>
      <w:ind w:left="2269" w:hanging="567"/>
    </w:pPr>
    <w:rPr>
      <w:szCs w:val="28"/>
    </w:rPr>
  </w:style>
  <w:style w:type="paragraph" w:styleId="Style33" w:customStyle="1">
    <w:name w:val="Примечание"/>
    <w:basedOn w:val="Normal"/>
    <w:link w:val="Style12"/>
    <w:qFormat/>
    <w:rsid w:val="00345a72"/>
    <w:pPr>
      <w:spacing w:before="240" w:after="240"/>
      <w:ind w:left="1701" w:right="567" w:hanging="0"/>
    </w:pPr>
    <w:rPr>
      <w:spacing w:val="20"/>
      <w:sz w:val="24"/>
    </w:rPr>
  </w:style>
  <w:style w:type="paragraph" w:styleId="15" w:customStyle="1">
    <w:name w:val="Пункт_1"/>
    <w:basedOn w:val="Normal"/>
    <w:qFormat/>
    <w:rsid w:val="00f51ba9"/>
    <w:pPr>
      <w:keepNext w:val="true"/>
      <w:tabs>
        <w:tab w:val="clear" w:pos="567"/>
        <w:tab w:val="left" w:pos="568" w:leader="none"/>
      </w:tabs>
      <w:spacing w:before="480" w:after="240"/>
      <w:ind w:left="567" w:hanging="567"/>
      <w:jc w:val="center"/>
      <w:outlineLvl w:val="0"/>
    </w:pPr>
    <w:rPr>
      <w:rFonts w:ascii="Arial" w:hAnsi="Arial"/>
      <w:b/>
      <w:sz w:val="32"/>
      <w:szCs w:val="28"/>
    </w:rPr>
  </w:style>
  <w:style w:type="paragraph" w:styleId="Default" w:customStyle="1">
    <w:name w:val="Default"/>
    <w:qFormat/>
    <w:rsid w:val="00b50113"/>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HTMLPreformatted">
    <w:name w:val="HTML Preformatted"/>
    <w:basedOn w:val="Normal"/>
    <w:link w:val="HTML"/>
    <w:uiPriority w:val="99"/>
    <w:semiHidden/>
    <w:unhideWhenUsed/>
    <w:qFormat/>
    <w:rsid w:val="00c01a39"/>
    <w:pPr>
      <w:tabs>
        <w:tab w:val="clear" w:pos="567"/>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left"/>
    </w:pPr>
    <w:rPr>
      <w:rFonts w:ascii="Courier New" w:hAnsi="Courier New" w:cs="Courier New"/>
      <w:sz w:val="20"/>
      <w:szCs w:val="20"/>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Style36" w:customStyle="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ff">
    <w:name w:val="Table Grid"/>
    <w:basedOn w:val="a2"/>
    <w:uiPriority w:val="59"/>
    <w:rsid w:val="00ac6bd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0">
    <w:name w:val="Сетка таблицы211"/>
    <w:basedOn w:val="a2"/>
    <w:uiPriority w:val="59"/>
    <w:rsid w:val="00c55e80"/>
    <w:rPr>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agaes2@rushydro.ru" TargetMode="External"/><Relationship Id="rId3" Type="http://schemas.openxmlformats.org/officeDocument/2006/relationships/hyperlink" Target="mailto:zagaes2@rushydro.ru" TargetMode="Externa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071C3-5058-4945-8D74-B075F2C59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Application>AlterOffice/3.4.0.9$Linux_X86_64 LibreOffice_project/b8daf9e823b1a5463a2f48435ddc2e8696e7d4fc</Application>
  <AppVersion>15.0000</AppVersion>
  <Pages>69</Pages>
  <Words>12641</Words>
  <Characters>87760</Characters>
  <CharactersWithSpaces>98709</CharactersWithSpaces>
  <Paragraphs>1737</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2024-12-13T13:30:00Z</dcterms:created>
  <dc:creator>Artem Lukashov</dc:creator>
  <dc:description/>
  <dc:language>ru-RU</dc:language>
  <cp:lastModifiedBy>pozdnyakovaa@corp.gidroogk.com</cp:lastModifiedBy>
  <dcterms:modified xsi:type="dcterms:W3CDTF">2025-08-28T10:25:04Z</dcterms:modified>
  <cp:revision>17</cp:revision>
  <dc:subject/>
  <dc:title>Типовая закупочная документация</dc:title>
</cp:coreProperties>
</file>

<file path=docProps/custom.xml><?xml version="1.0" encoding="utf-8"?>
<Properties xmlns="http://schemas.openxmlformats.org/officeDocument/2006/custom-properties" xmlns:vt="http://schemas.openxmlformats.org/officeDocument/2006/docPropsVTypes"/>
</file>