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8DCD7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23AE378E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5A4F45A2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21290CB5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2DD4E11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7AEB259E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9437BA5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1BFF1D4C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2BE7116B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>Финансовый управляющий 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 ____________________ действующее от имени … (ОГРН …, ИНН …, адрес: …), именуемое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Должник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 xml:space="preserve"> </w:t>
      </w:r>
    </w:p>
    <w:p w14:paraId="3775552A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_______________________________</w:t>
      </w:r>
    </w:p>
    <w:p w14:paraId="0B22A457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именуемый в дальнейшем «Претендент», в лице _______________________________________________________________________________,</w:t>
      </w:r>
    </w:p>
    <w:p w14:paraId="0902910E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 xml:space="preserve">                                                                   (должность, Ф.И.О.)</w:t>
      </w:r>
    </w:p>
    <w:p w14:paraId="1F0529FE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действующего на основании _______________________________________________________________________________,</w:t>
      </w:r>
    </w:p>
    <w:p w14:paraId="5DB19745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(Устава, Положения, доверенности)</w:t>
      </w:r>
    </w:p>
    <w:p w14:paraId="52E942DF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с другой стороны, заключили настоящий Договор о нижеследующем:</w:t>
      </w:r>
    </w:p>
    <w:p w14:paraId="1D067089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0536C34D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6DAD714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7D82EE2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 xml:space="preserve">от соответствующей цены продажи имущества/лота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233ECCB0">
      <w:pPr>
        <w:jc w:val="both"/>
        <w:rPr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shd w:val="clear" w:color="auto" w:fill="auto"/>
          <w:lang w:val="ru-RU"/>
        </w:rPr>
        <w:t>09</w:t>
      </w:r>
      <w:r>
        <w:rPr>
          <w:sz w:val="22"/>
          <w:szCs w:val="22"/>
          <w:shd w:val="clear" w:color="auto" w:fill="auto"/>
        </w:rPr>
        <w:t>.0</w:t>
      </w:r>
      <w:r>
        <w:rPr>
          <w:rFonts w:hint="default"/>
          <w:sz w:val="22"/>
          <w:szCs w:val="22"/>
          <w:shd w:val="clear" w:color="auto" w:fill="auto"/>
          <w:lang w:val="ru-RU"/>
        </w:rPr>
        <w:t>9</w:t>
      </w:r>
      <w:r>
        <w:rPr>
          <w:sz w:val="22"/>
          <w:szCs w:val="22"/>
          <w:shd w:val="clear" w:color="auto" w:fill="auto"/>
        </w:rPr>
        <w:t>.2025 г. в 00:00 ч. по мск. времени.</w:t>
      </w:r>
      <w:r>
        <w:rPr>
          <w:sz w:val="22"/>
          <w:szCs w:val="22"/>
          <w:shd w:val="clear" w:color="auto" w:fill="auto"/>
        </w:rPr>
        <w:br w:type="textWrapping"/>
      </w: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>Дата и время окончания приема заявок – 1</w:t>
      </w:r>
      <w:r>
        <w:rPr>
          <w:rFonts w:hint="default"/>
          <w:sz w:val="22"/>
          <w:szCs w:val="22"/>
          <w:shd w:val="clear" w:color="auto" w:fill="auto"/>
          <w:lang w:val="ru-RU"/>
        </w:rPr>
        <w:t>5</w:t>
      </w:r>
      <w:r>
        <w:rPr>
          <w:sz w:val="22"/>
          <w:szCs w:val="22"/>
          <w:shd w:val="clear" w:color="auto" w:fill="auto"/>
        </w:rPr>
        <w:t>.</w:t>
      </w:r>
      <w:r>
        <w:rPr>
          <w:rFonts w:hint="default"/>
          <w:sz w:val="22"/>
          <w:szCs w:val="22"/>
          <w:shd w:val="clear" w:color="auto" w:fill="auto"/>
          <w:lang w:val="ru-RU"/>
        </w:rPr>
        <w:t>10</w:t>
      </w:r>
      <w:r>
        <w:rPr>
          <w:sz w:val="22"/>
          <w:szCs w:val="22"/>
          <w:shd w:val="clear" w:color="auto" w:fill="auto"/>
        </w:rPr>
        <w:t>.2025 г. в 1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</w:rPr>
        <w:t>:00 ч. по мск. времени.</w:t>
      </w:r>
    </w:p>
    <w:p w14:paraId="629D29BE">
      <w:pPr>
        <w:jc w:val="both"/>
        <w:rPr>
          <w:sz w:val="22"/>
          <w:szCs w:val="22"/>
          <w:shd w:val="clear" w:color="auto" w:fill="auto"/>
        </w:rPr>
      </w:pPr>
    </w:p>
    <w:p w14:paraId="09F01113">
      <w:pPr>
        <w:jc w:val="both"/>
        <w:rPr>
          <w:sz w:val="24"/>
          <w:szCs w:val="24"/>
          <w:shd w:val="clear" w:color="auto" w:fill="FFFF00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auto"/>
        </w:rPr>
        <w:t xml:space="preserve">В настоящее время на торгах подлежит реализации </w:t>
      </w:r>
    </w:p>
    <w:p w14:paraId="3624903A">
      <w:pPr>
        <w:ind w:firstLine="720" w:firstLineChars="0"/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>Лот</w:t>
      </w:r>
      <w:r>
        <w:rPr>
          <w:b/>
          <w:sz w:val="24"/>
          <w:szCs w:val="24"/>
          <w:shd w:val="clear" w:color="auto" w:fill="FFFF00"/>
        </w:rPr>
        <w:t xml:space="preserve"> </w:t>
      </w:r>
      <w:r>
        <w:rPr>
          <w:b w:val="0"/>
          <w:bCs w:val="0"/>
          <w:sz w:val="24"/>
          <w:szCs w:val="24"/>
          <w:shd w:val="clear" w:color="auto" w:fill="FFFF00"/>
        </w:rPr>
        <w:t xml:space="preserve">№ </w:t>
      </w:r>
      <w:r>
        <w:rPr>
          <w:rFonts w:hint="default"/>
          <w:b w:val="0"/>
          <w:bCs w:val="0"/>
          <w:sz w:val="24"/>
          <w:szCs w:val="24"/>
          <w:shd w:val="clear" w:color="auto" w:fill="FFFF00"/>
          <w:lang w:val="ru-RU"/>
        </w:rPr>
        <w:t>3</w:t>
      </w:r>
      <w:r>
        <w:rPr>
          <w:b w:val="0"/>
          <w:bCs w:val="0"/>
          <w:sz w:val="24"/>
          <w:szCs w:val="24"/>
          <w:shd w:val="clear" w:color="auto" w:fill="FFFF00"/>
        </w:rPr>
        <w:t>. К</w:t>
      </w:r>
      <w:r>
        <w:rPr>
          <w:sz w:val="24"/>
          <w:szCs w:val="24"/>
          <w:shd w:val="clear" w:color="auto" w:fill="FFFF00"/>
        </w:rPr>
        <w:t>ладовая комната № 43Д, расположенная по адресу: Москва, ул. Мосфильмовская, д. 70, подземный этаж № 1, общей площадью 4,90 кв.м., кадастровый номер 77:07:0006004:16748.</w:t>
      </w:r>
    </w:p>
    <w:p w14:paraId="019D6839">
      <w:pPr>
        <w:ind w:firstLine="720" w:firstLineChars="0"/>
        <w:jc w:val="both"/>
        <w:rPr>
          <w:sz w:val="22"/>
          <w:szCs w:val="22"/>
          <w:shd w:val="clear" w:color="auto" w:fill="auto"/>
        </w:rPr>
      </w:pPr>
      <w:r>
        <w:rPr>
          <w:sz w:val="24"/>
          <w:szCs w:val="24"/>
          <w:shd w:val="clear" w:color="auto" w:fill="FFFF00"/>
        </w:rPr>
        <w:t xml:space="preserve">Начальная цена лота № </w:t>
      </w:r>
      <w:r>
        <w:rPr>
          <w:rFonts w:hint="default"/>
          <w:sz w:val="24"/>
          <w:szCs w:val="24"/>
          <w:shd w:val="clear" w:color="auto" w:fill="FFFF00"/>
          <w:lang w:val="ru-RU"/>
        </w:rPr>
        <w:t>3</w:t>
      </w:r>
      <w:r>
        <w:rPr>
          <w:sz w:val="24"/>
          <w:szCs w:val="24"/>
          <w:shd w:val="clear" w:color="auto" w:fill="FFFF00"/>
        </w:rPr>
        <w:t xml:space="preserve"> - </w:t>
      </w:r>
      <w:r>
        <w:rPr>
          <w:rFonts w:hint="default"/>
          <w:sz w:val="24"/>
          <w:szCs w:val="24"/>
          <w:shd w:val="clear" w:color="auto" w:fill="FFFF00"/>
          <w:lang w:val="ru-RU"/>
        </w:rPr>
        <w:t>1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rFonts w:hint="default"/>
          <w:sz w:val="24"/>
          <w:szCs w:val="24"/>
          <w:shd w:val="clear" w:color="auto" w:fill="FFFF00"/>
          <w:lang w:val="ru-RU"/>
        </w:rPr>
        <w:t>832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rFonts w:hint="default"/>
          <w:sz w:val="24"/>
          <w:szCs w:val="24"/>
          <w:shd w:val="clear" w:color="auto" w:fill="FFFF00"/>
          <w:lang w:val="ru-RU"/>
        </w:rPr>
        <w:t>089</w:t>
      </w:r>
      <w:r>
        <w:rPr>
          <w:sz w:val="24"/>
          <w:szCs w:val="24"/>
          <w:shd w:val="clear" w:color="auto" w:fill="FFFF00"/>
        </w:rPr>
        <w:t>,</w:t>
      </w:r>
      <w:r>
        <w:rPr>
          <w:rFonts w:hint="default"/>
          <w:sz w:val="24"/>
          <w:szCs w:val="24"/>
          <w:shd w:val="clear" w:color="auto" w:fill="FFFF00"/>
          <w:lang w:val="ru-RU"/>
        </w:rPr>
        <w:t>09</w:t>
      </w:r>
      <w:r>
        <w:rPr>
          <w:sz w:val="24"/>
          <w:szCs w:val="24"/>
          <w:shd w:val="clear" w:color="auto" w:fill="FFFF00"/>
        </w:rPr>
        <w:t xml:space="preserve"> руб.</w:t>
      </w:r>
    </w:p>
    <w:p w14:paraId="6435A416">
      <w:pPr>
        <w:jc w:val="both"/>
        <w:rPr>
          <w:sz w:val="22"/>
          <w:szCs w:val="22"/>
          <w:shd w:val="clear" w:color="auto" w:fill="auto"/>
        </w:rPr>
      </w:pPr>
    </w:p>
    <w:p w14:paraId="00A82062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4BF22972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2028211B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3EF06556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479C4417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1A117246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57870C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61A6079C">
      <w:pPr>
        <w:pStyle w:val="33"/>
        <w:widowControl/>
        <w:ind w:left="0" w:right="0" w:firstLine="54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cs="Times New Roman"/>
          <w:sz w:val="22"/>
          <w:szCs w:val="22"/>
        </w:rPr>
        <w:t xml:space="preserve">в срок </w:t>
      </w:r>
      <w:r>
        <w:rPr>
          <w:rFonts w:ascii="Times New Roman" w:hAnsi="Times New Roman" w:eastAsia="Calibri" w:cs="Times New Roman"/>
          <w:sz w:val="22"/>
          <w:szCs w:val="22"/>
        </w:rPr>
        <w:t xml:space="preserve">до момента </w:t>
      </w:r>
      <w:r>
        <w:rPr>
          <w:rFonts w:ascii="Times New Roman" w:hAnsi="Times New Roman" w:cs="Times New Roman"/>
          <w:sz w:val="22"/>
          <w:szCs w:val="22"/>
        </w:rPr>
        <w:t>составления протокола об определении участников торгов.</w:t>
      </w:r>
    </w:p>
    <w:p w14:paraId="091B59FF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24C20783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727EC66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1C0EB574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7696CF7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2CAF2C4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530EF06B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21FFE4C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0C5075A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564E8F3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3573727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DFE52A2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3AF42942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3EB1B0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59A5ECF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CFB3384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BF92E7F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2B9F84A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FD5EF5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1ACBD7EE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61387DC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9BDA863">
      <w:pPr>
        <w:ind w:left="0" w:right="0" w:firstLine="540"/>
        <w:jc w:val="both"/>
        <w:rPr>
          <w:sz w:val="22"/>
          <w:szCs w:val="22"/>
        </w:rPr>
      </w:pPr>
    </w:p>
    <w:p w14:paraId="4137A627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1F350D83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DE947F5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6FEBC5A5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70"/>
      </w:tblGrid>
      <w:tr w14:paraId="0513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4C5A8D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4A78F1B7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1D8E0FFF">
            <w:pPr>
              <w:rPr>
                <w:b/>
                <w:sz w:val="22"/>
                <w:szCs w:val="22"/>
              </w:rPr>
            </w:pPr>
          </w:p>
          <w:p w14:paraId="43BC9131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3E28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C0C546A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">
    <w:altName w:val="Lucida Sans Unicode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F0D81"/>
    <w:rsid w:val="66A81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uiPriority w:val="3"/>
  </w:style>
  <w:style w:type="character" w:customStyle="1" w:styleId="13">
    <w:name w:val="WW8Num1z3"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uiPriority w:val="3"/>
  </w:style>
  <w:style w:type="character" w:customStyle="1" w:styleId="18">
    <w:name w:val="WW8Num1z8"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uiPriority w:val="3"/>
  </w:style>
  <w:style w:type="character" w:customStyle="1" w:styleId="22">
    <w:name w:val="WW8Num2z3"/>
    <w:uiPriority w:val="3"/>
  </w:style>
  <w:style w:type="character" w:customStyle="1" w:styleId="23">
    <w:name w:val="WW8Num2z4"/>
    <w:uiPriority w:val="3"/>
  </w:style>
  <w:style w:type="character" w:customStyle="1" w:styleId="24">
    <w:name w:val="WW8Num2z5"/>
    <w:uiPriority w:val="3"/>
  </w:style>
  <w:style w:type="character" w:customStyle="1" w:styleId="25">
    <w:name w:val="WW8Num2z6"/>
    <w:uiPriority w:val="3"/>
  </w:style>
  <w:style w:type="character" w:customStyle="1" w:styleId="26">
    <w:name w:val="WW8Num2z7"/>
    <w:uiPriority w:val="3"/>
  </w:style>
  <w:style w:type="character" w:customStyle="1" w:styleId="27">
    <w:name w:val="WW8Num2z8"/>
    <w:uiPriority w:val="3"/>
  </w:style>
  <w:style w:type="character" w:customStyle="1" w:styleId="28">
    <w:name w:val="Основной шрифт абзаца1"/>
    <w:uiPriority w:val="67"/>
  </w:style>
  <w:style w:type="character" w:customStyle="1" w:styleId="29">
    <w:name w:val="text"/>
    <w:basedOn w:val="28"/>
    <w:uiPriority w:val="7"/>
  </w:style>
  <w:style w:type="character" w:customStyle="1" w:styleId="30">
    <w:name w:val="Символ нумерации"/>
    <w:uiPriority w:val="67"/>
  </w:style>
  <w:style w:type="paragraph" w:customStyle="1" w:styleId="31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uiPriority w:val="67"/>
    <w:pPr>
      <w:suppressLineNumbers/>
    </w:pPr>
    <w:rPr>
      <w:rFonts w:cs="Lucida Sans"/>
    </w:rPr>
  </w:style>
  <w:style w:type="paragraph" w:customStyle="1" w:styleId="33">
    <w:name w:val="ConsNormal"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uiPriority w:val="67"/>
    <w:pPr>
      <w:suppressLineNumbers/>
    </w:pPr>
  </w:style>
  <w:style w:type="paragraph" w:customStyle="1" w:styleId="40">
    <w:name w:val="Заголовок таблицы"/>
    <w:basedOn w:val="39"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2025-09-05T13:23:33Z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9313C585C8404D74BB37C41100657507_13</vt:lpwstr>
  </property>
</Properties>
</file>