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Default="00B32DC7" w:rsidP="00322F5C">
      <w:pPr>
        <w:spacing w:before="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Default="00B32DC7" w:rsidP="00322F5C">
      <w:pPr>
        <w:spacing w:before="0"/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i/>
          <w:sz w:val="28"/>
          <w:szCs w:val="28"/>
        </w:rPr>
        <w:t>Организатор продажи</w:t>
      </w:r>
      <w:r w:rsidRPr="00923BBD">
        <w:rPr>
          <w:b w:val="0"/>
          <w:sz w:val="28"/>
          <w:szCs w:val="28"/>
        </w:rPr>
        <w:t xml:space="preserve">: </w:t>
      </w: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 (организатор продажи)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Контактное лицо: Кулагина Анджела Валерьевна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   </w:t>
      </w:r>
    </w:p>
    <w:p w:rsidR="00B32DC7" w:rsidRPr="00923BBD" w:rsidRDefault="00990CAF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hyperlink r:id="rId5" w:history="1">
        <w:r w:rsidR="00B32DC7" w:rsidRPr="00923BBD">
          <w:rPr>
            <w:rStyle w:val="a6"/>
            <w:b w:val="0"/>
            <w:sz w:val="28"/>
            <w:szCs w:val="28"/>
          </w:rPr>
          <w:t>kulaginaav@yakutskenergo.ru</w:t>
        </w:r>
      </w:hyperlink>
    </w:p>
    <w:p w:rsidR="00B32DC7" w:rsidRPr="00923BBD" w:rsidRDefault="00B32DC7" w:rsidP="00A3285B">
      <w:pPr>
        <w:spacing w:before="0"/>
        <w:jc w:val="left"/>
        <w:rPr>
          <w:rStyle w:val="a7"/>
          <w:sz w:val="28"/>
          <w:szCs w:val="28"/>
        </w:rPr>
      </w:pPr>
      <w:r w:rsidRPr="00923BBD">
        <w:rPr>
          <w:i/>
          <w:sz w:val="28"/>
          <w:szCs w:val="28"/>
        </w:rPr>
        <w:t>Предмет продажи:</w:t>
      </w:r>
      <w:r w:rsidRPr="00923BBD">
        <w:rPr>
          <w:sz w:val="28"/>
          <w:szCs w:val="28"/>
        </w:rPr>
        <w:t xml:space="preserve"> </w:t>
      </w:r>
      <w:r w:rsidR="00A3285B">
        <w:t xml:space="preserve">Здания </w:t>
      </w:r>
      <w:r w:rsidR="00A3285B" w:rsidRPr="00444DD4">
        <w:t>тех</w:t>
      </w:r>
      <w:r w:rsidR="00A3285B">
        <w:t>.</w:t>
      </w:r>
      <w:r w:rsidR="00A3285B" w:rsidRPr="00444DD4">
        <w:t xml:space="preserve"> здани</w:t>
      </w:r>
      <w:r w:rsidR="00A3285B">
        <w:t>е,</w:t>
      </w:r>
      <w:r w:rsidR="00A3285B" w:rsidRPr="00444DD4">
        <w:t xml:space="preserve"> р/</w:t>
      </w:r>
      <w:proofErr w:type="spellStart"/>
      <w:r w:rsidR="00A3285B" w:rsidRPr="00444DD4">
        <w:t>релейн</w:t>
      </w:r>
      <w:proofErr w:type="spellEnd"/>
      <w:r w:rsidR="00A3285B">
        <w:t xml:space="preserve">. </w:t>
      </w:r>
      <w:r w:rsidR="00A3285B" w:rsidRPr="00444DD4">
        <w:t>лини</w:t>
      </w:r>
      <w:r w:rsidR="00A3285B">
        <w:t>я</w:t>
      </w:r>
      <w:r w:rsidR="00A3285B" w:rsidRPr="00444DD4">
        <w:t xml:space="preserve"> с кадастровым номером 14:16:000000:3477</w:t>
      </w:r>
      <w:r w:rsidR="00A3285B">
        <w:t xml:space="preserve"> </w:t>
      </w:r>
      <w:r w:rsidR="00A3285B" w:rsidRPr="00444DD4">
        <w:t>и</w:t>
      </w:r>
      <w:r w:rsidR="00A3285B">
        <w:t xml:space="preserve"> земельный</w:t>
      </w:r>
      <w:r w:rsidR="00A3285B" w:rsidRPr="00444DD4">
        <w:t xml:space="preserve"> участ</w:t>
      </w:r>
      <w:r w:rsidR="00A3285B">
        <w:t>о</w:t>
      </w:r>
      <w:r w:rsidR="00A3285B" w:rsidRPr="00444DD4">
        <w:t>к</w:t>
      </w:r>
      <w:r w:rsidR="00A3285B">
        <w:t xml:space="preserve"> с кадастровым номером </w:t>
      </w:r>
      <w:r w:rsidR="00A3285B" w:rsidRPr="00444DD4">
        <w:t>14:16:050201:5</w:t>
      </w:r>
    </w:p>
    <w:p w:rsidR="00990CAF" w:rsidRDefault="00B32DC7" w:rsidP="00990CAF">
      <w:pPr>
        <w:widowControl w:val="0"/>
        <w:tabs>
          <w:tab w:val="left" w:pos="990"/>
        </w:tabs>
        <w:spacing w:before="0"/>
      </w:pPr>
      <w:r w:rsidRPr="00923BBD">
        <w:rPr>
          <w:b/>
          <w:i/>
          <w:sz w:val="28"/>
          <w:szCs w:val="28"/>
        </w:rPr>
        <w:t>Адрес местонахождения предмета продажи:</w:t>
      </w:r>
      <w:r w:rsidRPr="00923BBD">
        <w:rPr>
          <w:sz w:val="28"/>
          <w:szCs w:val="28"/>
        </w:rPr>
        <w:t xml:space="preserve"> </w:t>
      </w:r>
      <w:r w:rsidR="00A3285B" w:rsidRPr="00444DD4">
        <w:t>Республика Саха (Якутия),</w:t>
      </w:r>
      <w:r w:rsidR="00A3285B">
        <w:t xml:space="preserve"> </w:t>
      </w:r>
      <w:proofErr w:type="spellStart"/>
      <w:r w:rsidR="00A3285B">
        <w:t>Мирнинский</w:t>
      </w:r>
      <w:proofErr w:type="spellEnd"/>
      <w:r w:rsidR="00A3285B">
        <w:t xml:space="preserve"> район,</w:t>
      </w:r>
      <w:r w:rsidR="00A3285B" w:rsidRPr="00444DD4">
        <w:t xml:space="preserve"> пос. Светлый, доп. адрес: северо-восточная часть пос. Светлый за ЖКХ.</w:t>
      </w:r>
    </w:p>
    <w:p w:rsidR="00A3285B" w:rsidRDefault="00990CAF" w:rsidP="00990CAF">
      <w:pPr>
        <w:widowControl w:val="0"/>
        <w:tabs>
          <w:tab w:val="left" w:pos="0"/>
        </w:tabs>
        <w:spacing w:before="0"/>
      </w:pPr>
      <w:r>
        <w:tab/>
      </w:r>
      <w:r w:rsidR="00B32DC7" w:rsidRPr="00923BBD">
        <w:rPr>
          <w:b/>
          <w:i/>
          <w:sz w:val="28"/>
          <w:szCs w:val="28"/>
        </w:rPr>
        <w:t xml:space="preserve">Краткое </w:t>
      </w:r>
      <w:r w:rsidR="00B32DC7" w:rsidRPr="00593A78">
        <w:rPr>
          <w:b/>
          <w:i/>
          <w:sz w:val="28"/>
          <w:szCs w:val="28"/>
        </w:rPr>
        <w:t xml:space="preserve">описание Предмета </w:t>
      </w:r>
      <w:r w:rsidR="00745572" w:rsidRPr="00593A78">
        <w:rPr>
          <w:b/>
          <w:i/>
          <w:sz w:val="28"/>
          <w:szCs w:val="28"/>
        </w:rPr>
        <w:t>продажи:</w:t>
      </w:r>
      <w:r w:rsidR="002D7BA1" w:rsidRPr="002D7BA1">
        <w:rPr>
          <w:sz w:val="28"/>
          <w:szCs w:val="28"/>
        </w:rPr>
        <w:t xml:space="preserve"> </w:t>
      </w:r>
      <w:proofErr w:type="gramStart"/>
      <w:r w:rsidR="00A3285B">
        <w:t>В</w:t>
      </w:r>
      <w:proofErr w:type="gramEnd"/>
      <w:r w:rsidR="00A3285B">
        <w:t xml:space="preserve"> состав объекта Здание тех. здание, р/релейной линия входят:</w:t>
      </w:r>
    </w:p>
    <w:p w:rsidR="00A3285B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6"/>
          <w:lang w:eastAsia="ru-RU"/>
        </w:rPr>
      </w:pPr>
      <w:r>
        <w:rPr>
          <w:rFonts w:ascii="Times New Roman" w:eastAsia="Times New Roman" w:hAnsi="Times New Roman"/>
          <w:snapToGrid w:val="0"/>
          <w:sz w:val="26"/>
          <w:lang w:eastAsia="ru-RU"/>
        </w:rPr>
        <w:t>т</w:t>
      </w:r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>ехническое здание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 xml:space="preserve">, </w:t>
      </w:r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 xml:space="preserve">площадь 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>42,2</w:t>
      </w:r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 xml:space="preserve"> </w:t>
      </w:r>
      <w:proofErr w:type="spellStart"/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>кв.м</w:t>
      </w:r>
      <w:proofErr w:type="spellEnd"/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>.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 xml:space="preserve"> (лит. А</w:t>
      </w:r>
      <w:r w:rsidRPr="00473AE2">
        <w:rPr>
          <w:rFonts w:ascii="Times New Roman" w:eastAsia="Times New Roman" w:hAnsi="Times New Roman"/>
          <w:snapToGrid w:val="0"/>
          <w:sz w:val="26"/>
          <w:lang w:eastAsia="ru-RU"/>
        </w:rPr>
        <w:t>)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>;</w:t>
      </w:r>
    </w:p>
    <w:p w:rsidR="00A3285B" w:rsidRPr="00A8236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6"/>
          <w:lang w:eastAsia="ru-RU"/>
        </w:rPr>
      </w:pPr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 xml:space="preserve">дизельная, площадь 41,2 </w:t>
      </w:r>
      <w:proofErr w:type="spellStart"/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>кв.м</w:t>
      </w:r>
      <w:proofErr w:type="spellEnd"/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>. (лит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>.</w:t>
      </w:r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 xml:space="preserve"> Б);</w:t>
      </w:r>
    </w:p>
    <w:p w:rsidR="00A3285B" w:rsidRPr="00A8236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eastAsia="Times New Roman" w:hAnsi="Times New Roman"/>
          <w:snapToGrid w:val="0"/>
          <w:sz w:val="26"/>
          <w:lang w:eastAsia="ru-RU"/>
        </w:rPr>
      </w:pPr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 xml:space="preserve">здание ВОХР, площадь 15,7 </w:t>
      </w:r>
      <w:proofErr w:type="spellStart"/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>кв.м</w:t>
      </w:r>
      <w:proofErr w:type="spellEnd"/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>. (лит</w:t>
      </w:r>
      <w:r>
        <w:rPr>
          <w:rFonts w:ascii="Times New Roman" w:eastAsia="Times New Roman" w:hAnsi="Times New Roman"/>
          <w:snapToGrid w:val="0"/>
          <w:sz w:val="26"/>
          <w:lang w:eastAsia="ru-RU"/>
        </w:rPr>
        <w:t>.</w:t>
      </w:r>
      <w:r w:rsidRPr="00A82366">
        <w:rPr>
          <w:rFonts w:ascii="Times New Roman" w:eastAsia="Times New Roman" w:hAnsi="Times New Roman"/>
          <w:snapToGrid w:val="0"/>
          <w:sz w:val="26"/>
          <w:lang w:eastAsia="ru-RU"/>
        </w:rPr>
        <w:t xml:space="preserve"> В);</w:t>
      </w:r>
    </w:p>
    <w:p w:rsidR="00A3285B" w:rsidRPr="00A82366" w:rsidRDefault="00A3285B" w:rsidP="00A3285B">
      <w:pPr>
        <w:pStyle w:val="a9"/>
        <w:numPr>
          <w:ilvl w:val="0"/>
          <w:numId w:val="3"/>
        </w:numPr>
        <w:tabs>
          <w:tab w:val="left" w:pos="284"/>
        </w:tabs>
        <w:suppressAutoHyphens w:val="0"/>
        <w:spacing w:before="0" w:line="276" w:lineRule="auto"/>
        <w:ind w:left="0" w:firstLine="0"/>
        <w:jc w:val="both"/>
        <w:rPr>
          <w:rFonts w:ascii="Times New Roman" w:hAnsi="Times New Roman"/>
          <w:sz w:val="26"/>
        </w:rPr>
      </w:pPr>
      <w:r w:rsidRPr="00A82366">
        <w:rPr>
          <w:rFonts w:ascii="Times New Roman" w:hAnsi="Times New Roman"/>
          <w:sz w:val="26"/>
        </w:rPr>
        <w:t>радиорелейная вышка, площадь</w:t>
      </w:r>
      <w:r>
        <w:rPr>
          <w:rFonts w:ascii="Times New Roman" w:hAnsi="Times New Roman"/>
          <w:sz w:val="26"/>
        </w:rPr>
        <w:t xml:space="preserve"> основания под фундамент 213,4 </w:t>
      </w:r>
      <w:proofErr w:type="spellStart"/>
      <w:r w:rsidRPr="00A82366">
        <w:rPr>
          <w:rFonts w:ascii="Times New Roman" w:hAnsi="Times New Roman"/>
          <w:sz w:val="26"/>
        </w:rPr>
        <w:t>кв.м</w:t>
      </w:r>
      <w:proofErr w:type="spellEnd"/>
      <w:r w:rsidRPr="00A82366">
        <w:rPr>
          <w:rFonts w:ascii="Times New Roman" w:hAnsi="Times New Roman"/>
          <w:sz w:val="26"/>
        </w:rPr>
        <w:t>.,</w:t>
      </w:r>
      <w:r>
        <w:rPr>
          <w:rFonts w:ascii="Times New Roman" w:hAnsi="Times New Roman"/>
          <w:sz w:val="26"/>
        </w:rPr>
        <w:t xml:space="preserve"> </w:t>
      </w:r>
      <w:r w:rsidRPr="00A82366">
        <w:rPr>
          <w:rFonts w:ascii="Times New Roman" w:hAnsi="Times New Roman"/>
          <w:sz w:val="26"/>
        </w:rPr>
        <w:t>высота 110,0 м (лит.</w:t>
      </w:r>
      <w:r>
        <w:rPr>
          <w:rFonts w:ascii="Times New Roman" w:hAnsi="Times New Roman"/>
          <w:sz w:val="26"/>
        </w:rPr>
        <w:t xml:space="preserve"> </w:t>
      </w:r>
      <w:r w:rsidRPr="00A82366">
        <w:rPr>
          <w:rFonts w:ascii="Times New Roman" w:hAnsi="Times New Roman"/>
          <w:sz w:val="26"/>
        </w:rPr>
        <w:t>Г).</w:t>
      </w:r>
    </w:p>
    <w:p w:rsidR="00A3285B" w:rsidRDefault="00A3285B" w:rsidP="00A3285B">
      <w:pPr>
        <w:pStyle w:val="a9"/>
        <w:tabs>
          <w:tab w:val="left" w:pos="284"/>
        </w:tabs>
        <w:spacing w:before="0" w:line="276" w:lineRule="auto"/>
        <w:ind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</w:t>
      </w:r>
      <w:r w:rsidRPr="00590DA1">
        <w:rPr>
          <w:rFonts w:ascii="Times New Roman" w:hAnsi="Times New Roman"/>
          <w:sz w:val="26"/>
        </w:rPr>
        <w:t>аходится в удовлетворительном состоянии</w:t>
      </w:r>
      <w:r>
        <w:rPr>
          <w:rFonts w:ascii="Times New Roman" w:hAnsi="Times New Roman"/>
          <w:sz w:val="26"/>
        </w:rPr>
        <w:t xml:space="preserve">, </w:t>
      </w:r>
      <w:r w:rsidRPr="00590DA1">
        <w:rPr>
          <w:rFonts w:ascii="Times New Roman" w:hAnsi="Times New Roman"/>
          <w:sz w:val="26"/>
        </w:rPr>
        <w:t>проведено центральное электроснабжение</w:t>
      </w:r>
      <w:r>
        <w:rPr>
          <w:rFonts w:ascii="Times New Roman" w:hAnsi="Times New Roman"/>
          <w:sz w:val="26"/>
        </w:rPr>
        <w:t>.</w:t>
      </w:r>
    </w:p>
    <w:p w:rsidR="00A3285B" w:rsidRPr="00590DA1" w:rsidRDefault="00A3285B" w:rsidP="00A3285B">
      <w:pPr>
        <w:tabs>
          <w:tab w:val="left" w:pos="284"/>
        </w:tabs>
        <w:spacing w:before="0" w:line="276" w:lineRule="auto"/>
        <w:ind w:firstLine="567"/>
      </w:pPr>
      <w:r>
        <w:t xml:space="preserve">Общая площадь земельного участка с кадастровым номером 14:16:050201:5 составляет </w:t>
      </w:r>
      <w:r w:rsidRPr="00590DA1">
        <w:t>8</w:t>
      </w:r>
      <w:r>
        <w:t> </w:t>
      </w:r>
      <w:r w:rsidRPr="00590DA1">
        <w:t>314</w:t>
      </w:r>
      <w:r>
        <w:t xml:space="preserve"> кв. м, имеет свободные подъездные пути, около половины земельного участка имеет асфальтное покрытие, по периметру металлический забор.</w:t>
      </w:r>
    </w:p>
    <w:p w:rsidR="00B32DC7" w:rsidRPr="00593A78" w:rsidRDefault="00B32DC7" w:rsidP="00A3285B">
      <w:pPr>
        <w:spacing w:before="0"/>
        <w:rPr>
          <w:b/>
          <w:i/>
          <w:sz w:val="28"/>
          <w:szCs w:val="28"/>
        </w:rPr>
      </w:pPr>
      <w:bookmarkStart w:id="0" w:name="_GoBack"/>
      <w:bookmarkEnd w:id="0"/>
      <w:r w:rsidRPr="00593A78">
        <w:rPr>
          <w:b/>
          <w:i/>
          <w:sz w:val="28"/>
          <w:szCs w:val="28"/>
        </w:rPr>
        <w:t xml:space="preserve">Обременения: </w:t>
      </w:r>
      <w:r w:rsidRPr="00593A78">
        <w:rPr>
          <w:sz w:val="28"/>
          <w:szCs w:val="28"/>
        </w:rPr>
        <w:t xml:space="preserve">«отсутствуют» </w:t>
      </w:r>
    </w:p>
    <w:p w:rsidR="00A3285B" w:rsidRPr="001A1252" w:rsidRDefault="00B32DC7" w:rsidP="00A3285B">
      <w:pPr>
        <w:widowControl w:val="0"/>
        <w:tabs>
          <w:tab w:val="left" w:pos="426"/>
        </w:tabs>
        <w:spacing w:before="0"/>
      </w:pPr>
      <w:r w:rsidRPr="00B024C9">
        <w:rPr>
          <w:b/>
          <w:i/>
          <w:sz w:val="28"/>
          <w:szCs w:val="28"/>
        </w:rPr>
        <w:t>Начальная цена продажи</w:t>
      </w:r>
      <w:r w:rsidRPr="00B024C9">
        <w:rPr>
          <w:sz w:val="28"/>
          <w:szCs w:val="28"/>
        </w:rPr>
        <w:t xml:space="preserve">: </w:t>
      </w:r>
      <w:r w:rsidR="00A3285B">
        <w:t xml:space="preserve">1 707 580 </w:t>
      </w:r>
      <w:r w:rsidR="00A3285B" w:rsidRPr="008902BC">
        <w:t>(</w:t>
      </w:r>
      <w:r w:rsidR="00A3285B" w:rsidRPr="00B115C9">
        <w:t xml:space="preserve">Один миллион семьсот семь тысяч пятьсот </w:t>
      </w:r>
      <w:r w:rsidR="00A3285B" w:rsidRPr="00B115C9">
        <w:lastRenderedPageBreak/>
        <w:t>восемьдесят рублей 00 копеек</w:t>
      </w:r>
      <w:r w:rsidR="00A3285B">
        <w:t xml:space="preserve">, с </w:t>
      </w:r>
      <w:r w:rsidR="00A3285B" w:rsidRPr="001A1252">
        <w:t>учетом НДС 20%, в том числе:</w:t>
      </w:r>
    </w:p>
    <w:p w:rsidR="00A3285B" w:rsidRDefault="00A3285B" w:rsidP="00A3285B">
      <w:pPr>
        <w:widowControl w:val="0"/>
        <w:tabs>
          <w:tab w:val="left" w:pos="426"/>
        </w:tabs>
        <w:spacing w:before="0"/>
      </w:pPr>
      <w:r>
        <w:t xml:space="preserve">- </w:t>
      </w:r>
      <w:r w:rsidRPr="001A1252">
        <w:t>стоимость Здания тех. здани</w:t>
      </w:r>
      <w:r>
        <w:t>я</w:t>
      </w:r>
      <w:r w:rsidRPr="001A1252">
        <w:t>, р/</w:t>
      </w:r>
      <w:proofErr w:type="spellStart"/>
      <w:r w:rsidRPr="001A1252">
        <w:t>релейн</w:t>
      </w:r>
      <w:proofErr w:type="spellEnd"/>
      <w:r w:rsidRPr="001A1252">
        <w:t>.</w:t>
      </w:r>
      <w:r>
        <w:t xml:space="preserve"> </w:t>
      </w:r>
      <w:r w:rsidRPr="001A1252">
        <w:t>лини</w:t>
      </w:r>
      <w:r>
        <w:t>я</w:t>
      </w:r>
      <w:r w:rsidRPr="001A1252">
        <w:t xml:space="preserve"> составляет</w:t>
      </w:r>
      <w:r>
        <w:t xml:space="preserve"> 799 680 (</w:t>
      </w:r>
      <w:r w:rsidRPr="00A63D0F">
        <w:t>Семьсот девяносто девять тысяч шестьсот восемьдесят</w:t>
      </w:r>
      <w:r>
        <w:t>)</w:t>
      </w:r>
      <w:r w:rsidRPr="00A63D0F">
        <w:t xml:space="preserve"> рублей 00 копеек</w:t>
      </w:r>
      <w:r>
        <w:t xml:space="preserve">. </w:t>
      </w:r>
      <w:r w:rsidRPr="00455018">
        <w:t>Девятьсот тринадцать тысяч дев</w:t>
      </w:r>
      <w:r>
        <w:t xml:space="preserve">ятьсот двадцать) </w:t>
      </w:r>
      <w:r w:rsidRPr="00E27CE7">
        <w:t>рублей 00 копеек</w:t>
      </w:r>
      <w:r w:rsidRPr="008902BC">
        <w:t>, включая НДС (20%) в сумме</w:t>
      </w:r>
      <w:r>
        <w:t xml:space="preserve"> 133 280 (</w:t>
      </w:r>
      <w:r w:rsidRPr="00A63D0F">
        <w:t>Сто тридцать три тысячи двести восемьдесят</w:t>
      </w:r>
      <w:r>
        <w:t>)</w:t>
      </w:r>
      <w:r w:rsidRPr="00A63D0F">
        <w:t xml:space="preserve"> рублей 00 копеек</w:t>
      </w:r>
      <w:r>
        <w:t>.</w:t>
      </w:r>
    </w:p>
    <w:p w:rsidR="00B32DC7" w:rsidRPr="00B024C9" w:rsidRDefault="00A3285B" w:rsidP="00A3285B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>
        <w:t xml:space="preserve">- </w:t>
      </w:r>
      <w:r w:rsidRPr="001A1252">
        <w:t>стоимость земельного участка составляет</w:t>
      </w:r>
      <w:r>
        <w:t xml:space="preserve"> 907 900 </w:t>
      </w:r>
      <w:r w:rsidRPr="008902BC">
        <w:t>(</w:t>
      </w:r>
      <w:r w:rsidRPr="000B7993">
        <w:t>Девятьсот семь тысяч девятьсот</w:t>
      </w:r>
      <w:r>
        <w:t>)</w:t>
      </w:r>
      <w:r w:rsidRPr="000B7993">
        <w:t xml:space="preserve"> рублей 00 копеек </w:t>
      </w:r>
      <w:r w:rsidRPr="001A1252">
        <w:t>(НДС не облагается на основании пп.6 п.2 ст.146, пп.1 п.3 ст.169 НК РФ).</w:t>
      </w:r>
    </w:p>
    <w:p w:rsidR="00A3285B" w:rsidRDefault="00B32DC7" w:rsidP="00A3285B">
      <w:pPr>
        <w:tabs>
          <w:tab w:val="left" w:pos="426"/>
        </w:tabs>
        <w:spacing w:before="0" w:after="120"/>
      </w:pPr>
      <w:r w:rsidRPr="00B024C9">
        <w:rPr>
          <w:b/>
          <w:i/>
          <w:sz w:val="28"/>
          <w:szCs w:val="28"/>
        </w:rPr>
        <w:t>«Шаг» аукциона:</w:t>
      </w:r>
      <w:r w:rsidRPr="00B024C9">
        <w:rPr>
          <w:sz w:val="28"/>
          <w:szCs w:val="28"/>
        </w:rPr>
        <w:t xml:space="preserve"> </w:t>
      </w:r>
      <w:r w:rsidRPr="0007249D">
        <w:rPr>
          <w:sz w:val="28"/>
          <w:szCs w:val="28"/>
        </w:rPr>
        <w:t xml:space="preserve">1 </w:t>
      </w:r>
      <w:r w:rsidRPr="006E4316">
        <w:rPr>
          <w:sz w:val="28"/>
          <w:szCs w:val="28"/>
        </w:rPr>
        <w:t>% от начальной цены продажи, указанной в настоящем Извещении, что составляет</w:t>
      </w:r>
      <w:r w:rsidR="002D7BA1">
        <w:rPr>
          <w:sz w:val="28"/>
          <w:szCs w:val="28"/>
        </w:rPr>
        <w:t xml:space="preserve"> </w:t>
      </w:r>
      <w:r w:rsidR="00A3285B">
        <w:t>17 075 (</w:t>
      </w:r>
      <w:r w:rsidR="00A3285B" w:rsidRPr="00B115C9">
        <w:t>Семнадцат</w:t>
      </w:r>
      <w:r w:rsidR="00A3285B">
        <w:t xml:space="preserve">ь тысяч семьдесят пять) </w:t>
      </w:r>
      <w:r w:rsidR="00A3285B" w:rsidRPr="00B115C9">
        <w:t>рублей 80 копеек</w:t>
      </w:r>
      <w:r w:rsidR="00A3285B">
        <w:t>.</w:t>
      </w:r>
    </w:p>
    <w:p w:rsidR="00B32DC7" w:rsidRPr="006E4316" w:rsidRDefault="00B32DC7" w:rsidP="00A3285B">
      <w:pPr>
        <w:tabs>
          <w:tab w:val="left" w:pos="426"/>
        </w:tabs>
        <w:spacing w:before="0" w:after="12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Размер задатка</w:t>
      </w:r>
      <w:r w:rsidRPr="006E4316">
        <w:rPr>
          <w:sz w:val="28"/>
          <w:szCs w:val="28"/>
        </w:rPr>
        <w:t xml:space="preserve">: </w:t>
      </w:r>
      <w:r w:rsidR="00A3285B" w:rsidRPr="001A1252">
        <w:t>5% от начальной цены продажи, указанной</w:t>
      </w:r>
      <w:r w:rsidR="00892EEC">
        <w:t xml:space="preserve"> в настоящем Извещении, что </w:t>
      </w:r>
      <w:r w:rsidR="00A3285B">
        <w:t>составляет 85 379 (</w:t>
      </w:r>
      <w:r w:rsidR="00A3285B" w:rsidRPr="00B115C9">
        <w:t>Восемьдесят пять тысяч триста семьдесят девять</w:t>
      </w:r>
      <w:r w:rsidR="00A3285B">
        <w:t>)</w:t>
      </w:r>
      <w:r w:rsidR="00A3285B" w:rsidRPr="00B115C9">
        <w:t xml:space="preserve"> рублей 00 копеек</w:t>
      </w:r>
      <w:r w:rsidR="00A3285B">
        <w:t>.</w:t>
      </w:r>
    </w:p>
    <w:p w:rsidR="00B32DC7" w:rsidRPr="006E4316" w:rsidRDefault="00B32DC7" w:rsidP="00322F5C">
      <w:pPr>
        <w:spacing w:before="0"/>
        <w:rPr>
          <w:b/>
          <w:i/>
          <w:sz w:val="28"/>
          <w:szCs w:val="28"/>
        </w:rPr>
      </w:pPr>
      <w:r w:rsidRPr="006E4316">
        <w:rPr>
          <w:b/>
          <w:i/>
          <w:sz w:val="28"/>
          <w:szCs w:val="28"/>
        </w:rPr>
        <w:t xml:space="preserve">Срок и порядок внесения задатка: </w:t>
      </w:r>
      <w:r w:rsidRPr="006E4316">
        <w:rPr>
          <w:sz w:val="28"/>
          <w:szCs w:val="28"/>
        </w:rPr>
        <w:t>с начала приема заявок по</w:t>
      </w:r>
      <w:r w:rsidRPr="006E4316">
        <w:rPr>
          <w:b/>
          <w:i/>
          <w:sz w:val="28"/>
          <w:szCs w:val="28"/>
        </w:rPr>
        <w:t xml:space="preserve"> </w:t>
      </w:r>
      <w:r w:rsidRPr="006E4316">
        <w:rPr>
          <w:sz w:val="28"/>
          <w:szCs w:val="28"/>
        </w:rPr>
        <w:t>«</w:t>
      </w:r>
      <w:r w:rsidR="00CA61AD">
        <w:rPr>
          <w:sz w:val="28"/>
          <w:szCs w:val="28"/>
        </w:rPr>
        <w:t>10</w:t>
      </w:r>
      <w:r w:rsidRPr="006E4316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6E4316">
        <w:rPr>
          <w:sz w:val="28"/>
          <w:szCs w:val="28"/>
        </w:rPr>
        <w:t xml:space="preserve"> 2025 г.</w:t>
      </w:r>
    </w:p>
    <w:p w:rsidR="00B32DC7" w:rsidRPr="006E4316" w:rsidRDefault="00B32DC7" w:rsidP="00322F5C">
      <w:pPr>
        <w:spacing w:before="0"/>
        <w:rPr>
          <w:sz w:val="28"/>
          <w:szCs w:val="28"/>
        </w:rPr>
      </w:pPr>
      <w:r w:rsidRPr="006E4316">
        <w:rPr>
          <w:sz w:val="28"/>
          <w:szCs w:val="28"/>
        </w:rPr>
        <w:t>Информация об условиях внесения задатка приведена в Документации о продаже.</w:t>
      </w:r>
    </w:p>
    <w:p w:rsidR="00B32DC7" w:rsidRPr="00B024C9" w:rsidRDefault="00B32DC7" w:rsidP="00322F5C">
      <w:pPr>
        <w:spacing w:before="0" w:after="12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Дата и время начала подачи Заявок</w:t>
      </w:r>
      <w:r w:rsidRPr="006E4316">
        <w:rPr>
          <w:sz w:val="28"/>
          <w:szCs w:val="28"/>
        </w:rPr>
        <w:t>: «</w:t>
      </w:r>
      <w:r w:rsidR="00CA61AD">
        <w:rPr>
          <w:sz w:val="28"/>
          <w:szCs w:val="28"/>
        </w:rPr>
        <w:t>27</w:t>
      </w:r>
      <w:r w:rsidRPr="00B024C9">
        <w:rPr>
          <w:sz w:val="28"/>
          <w:szCs w:val="28"/>
        </w:rPr>
        <w:t>» октября 2025 г. 09 ч. 00 мин. (по местному времени Организатора.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окончания подачи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CA61AD">
        <w:rPr>
          <w:sz w:val="28"/>
          <w:szCs w:val="28"/>
        </w:rPr>
        <w:t>10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 в 17</w:t>
      </w:r>
      <w:r w:rsidRPr="00B024C9">
        <w:rPr>
          <w:snapToGrid w:val="0"/>
          <w:sz w:val="28"/>
          <w:szCs w:val="28"/>
        </w:rPr>
        <w:t xml:space="preserve"> ч. 00 мин.</w:t>
      </w:r>
      <w:r w:rsidRPr="00B024C9">
        <w:rPr>
          <w:sz w:val="28"/>
          <w:szCs w:val="28"/>
        </w:rPr>
        <w:t xml:space="preserve">  </w:t>
      </w:r>
      <w:r w:rsidRPr="00B024C9">
        <w:rPr>
          <w:snapToGrid w:val="0"/>
          <w:sz w:val="28"/>
          <w:szCs w:val="28"/>
        </w:rPr>
        <w:t xml:space="preserve">по местному времени </w:t>
      </w:r>
      <w:r w:rsidRPr="00B024C9">
        <w:rPr>
          <w:sz w:val="28"/>
          <w:szCs w:val="28"/>
        </w:rPr>
        <w:t>О</w:t>
      </w:r>
      <w:r w:rsidRPr="00B024C9">
        <w:rPr>
          <w:snapToGrid w:val="0"/>
          <w:sz w:val="28"/>
          <w:szCs w:val="28"/>
        </w:rPr>
        <w:t>рганизатора.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  <w:r w:rsidRPr="00B024C9">
        <w:rPr>
          <w:b/>
          <w:i/>
          <w:sz w:val="28"/>
          <w:szCs w:val="28"/>
        </w:rPr>
        <w:t>Дата окончания рассмотрения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CA61AD">
        <w:rPr>
          <w:sz w:val="28"/>
          <w:szCs w:val="28"/>
        </w:rPr>
        <w:t>12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</w:t>
      </w:r>
    </w:p>
    <w:p w:rsidR="00B32DC7" w:rsidRPr="006E4316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проведения Аукциона:</w:t>
      </w:r>
      <w:r w:rsidRPr="00B024C9">
        <w:rPr>
          <w:sz w:val="28"/>
          <w:szCs w:val="28"/>
        </w:rPr>
        <w:t xml:space="preserve"> «</w:t>
      </w:r>
      <w:r w:rsidR="00CA61AD">
        <w:rPr>
          <w:sz w:val="28"/>
          <w:szCs w:val="28"/>
        </w:rPr>
        <w:t>15</w:t>
      </w:r>
      <w:r w:rsidRPr="006E4316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6E4316">
        <w:rPr>
          <w:sz w:val="28"/>
          <w:szCs w:val="28"/>
        </w:rPr>
        <w:t xml:space="preserve"> 2025 г. в 15 ч. 00 мин. по местному времени Организатора.</w:t>
      </w:r>
    </w:p>
    <w:p w:rsidR="00B32DC7" w:rsidRPr="006E4316" w:rsidRDefault="00B32DC7" w:rsidP="00322F5C">
      <w:pPr>
        <w:spacing w:before="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Время ожидания ценового предложения Участника:</w:t>
      </w:r>
      <w:r w:rsidRPr="006E4316">
        <w:rPr>
          <w:sz w:val="28"/>
          <w:szCs w:val="28"/>
        </w:rPr>
        <w:t xml:space="preserve"> 30 (тридцать) минут от времени начала проведения аукциона.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6E4316">
        <w:rPr>
          <w:b/>
          <w:i/>
          <w:sz w:val="28"/>
          <w:szCs w:val="28"/>
        </w:rPr>
        <w:t>Дата и время подведения итогов Аукциона:</w:t>
      </w:r>
      <w:r w:rsidR="00745572">
        <w:rPr>
          <w:sz w:val="28"/>
          <w:szCs w:val="28"/>
        </w:rPr>
        <w:t xml:space="preserve"> «1</w:t>
      </w:r>
      <w:r w:rsidR="00CA61AD">
        <w:rPr>
          <w:sz w:val="28"/>
          <w:szCs w:val="28"/>
        </w:rPr>
        <w:t>7</w:t>
      </w:r>
      <w:r w:rsidRPr="00B024C9">
        <w:rPr>
          <w:sz w:val="28"/>
          <w:szCs w:val="28"/>
        </w:rPr>
        <w:t xml:space="preserve">» </w:t>
      </w:r>
      <w:r w:rsidR="0009530F">
        <w:rPr>
          <w:sz w:val="28"/>
          <w:szCs w:val="28"/>
        </w:rPr>
        <w:t>декабря</w:t>
      </w:r>
      <w:r w:rsidRPr="00B024C9">
        <w:rPr>
          <w:sz w:val="28"/>
          <w:szCs w:val="28"/>
        </w:rPr>
        <w:t xml:space="preserve"> 2025 г. в 15 ч. 00 мин. по местному времени Организатора.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 xml:space="preserve">Место подведения итогов: </w:t>
      </w:r>
      <w:r w:rsidRPr="00B024C9">
        <w:rPr>
          <w:sz w:val="28"/>
          <w:szCs w:val="28"/>
        </w:rPr>
        <w:t>по адресу Продавца.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Наименование и адрес электронной торговой площадки для подачи Заявок:</w:t>
      </w:r>
      <w:r w:rsidRPr="00B024C9">
        <w:rPr>
          <w:sz w:val="28"/>
          <w:szCs w:val="28"/>
        </w:rPr>
        <w:t xml:space="preserve"> электронная торговая площадка РАД, </w:t>
      </w:r>
      <w:hyperlink r:id="rId6" w:history="1">
        <w:r w:rsidRPr="00593A78">
          <w:rPr>
            <w:rStyle w:val="a6"/>
            <w:sz w:val="28"/>
            <w:szCs w:val="28"/>
            <w:lang w:val="en-US"/>
          </w:rPr>
          <w:t>www</w:t>
        </w:r>
        <w:r w:rsidRPr="00593A78">
          <w:rPr>
            <w:rStyle w:val="a6"/>
            <w:sz w:val="28"/>
            <w:szCs w:val="28"/>
          </w:rPr>
          <w:t>.lot-online.ru</w:t>
        </w:r>
      </w:hyperlink>
      <w:r w:rsidRPr="00593A78">
        <w:rPr>
          <w:rStyle w:val="a6"/>
          <w:sz w:val="28"/>
          <w:szCs w:val="28"/>
        </w:rPr>
        <w:t>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Порядок и форма подачи Заявок:</w:t>
      </w:r>
      <w:r w:rsidRPr="00B024C9">
        <w:rPr>
          <w:sz w:val="28"/>
          <w:szCs w:val="28"/>
        </w:rPr>
        <w:t xml:space="preserve"> информация приведена в Документации о продаже.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Участники Аукциона</w:t>
      </w:r>
      <w:r w:rsidRPr="00B024C9">
        <w:rPr>
          <w:sz w:val="28"/>
          <w:szCs w:val="28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B024C9">
        <w:rPr>
          <w:color w:val="000000"/>
          <w:sz w:val="28"/>
          <w:szCs w:val="28"/>
        </w:rPr>
        <w:t>чья заявка признана соответствующей требованиям Документации о продаже.</w:t>
      </w:r>
    </w:p>
    <w:p w:rsidR="00B32DC7" w:rsidRPr="00B024C9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B024C9">
        <w:rPr>
          <w:i/>
          <w:sz w:val="28"/>
          <w:szCs w:val="28"/>
        </w:rPr>
        <w:t>Порядок подведения итогов Аукциона:</w:t>
      </w:r>
      <w:r w:rsidRPr="00B024C9">
        <w:rPr>
          <w:sz w:val="28"/>
          <w:szCs w:val="28"/>
        </w:rPr>
        <w:t xml:space="preserve"> </w:t>
      </w:r>
      <w:r w:rsidRPr="00B024C9">
        <w:rPr>
          <w:b w:val="0"/>
          <w:sz w:val="28"/>
          <w:szCs w:val="28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</w:t>
      </w:r>
      <w:r w:rsidRPr="00B024C9">
        <w:rPr>
          <w:b w:val="0"/>
          <w:sz w:val="28"/>
          <w:szCs w:val="28"/>
        </w:rPr>
        <w:lastRenderedPageBreak/>
        <w:t>Договора.</w:t>
      </w:r>
    </w:p>
    <w:p w:rsidR="00B32DC7" w:rsidRPr="00B024C9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</w:rPr>
      </w:pPr>
      <w:r w:rsidRPr="00B024C9">
        <w:rPr>
          <w:b w:val="0"/>
          <w:sz w:val="28"/>
          <w:szCs w:val="28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6E4316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  <w:u w:val="single"/>
        </w:rPr>
      </w:pPr>
      <w:r w:rsidRPr="006E4316">
        <w:rPr>
          <w:sz w:val="28"/>
          <w:szCs w:val="28"/>
          <w:u w:val="single"/>
        </w:rPr>
        <w:t>Документация о продаже официально опубликована на сайте электронной торговой площадки в сети «Интернет»</w:t>
      </w:r>
      <w:r>
        <w:rPr>
          <w:sz w:val="28"/>
          <w:szCs w:val="28"/>
          <w:u w:val="single"/>
        </w:rPr>
        <w:t xml:space="preserve"> </w:t>
      </w:r>
      <w:r w:rsidRPr="006E4316">
        <w:rPr>
          <w:rStyle w:val="a6"/>
          <w:b w:val="0"/>
        </w:rPr>
        <w:t xml:space="preserve"> </w:t>
      </w:r>
      <w:r w:rsidRPr="006E4316">
        <w:rPr>
          <w:b w:val="0"/>
          <w:sz w:val="28"/>
          <w:szCs w:val="28"/>
        </w:rPr>
        <w:t xml:space="preserve">АО «Российский аукционный дом» </w:t>
      </w:r>
      <w:hyperlink r:id="rId7" w:history="1">
        <w:r w:rsidRPr="006E4316">
          <w:rPr>
            <w:rStyle w:val="a6"/>
            <w:b w:val="0"/>
            <w:bCs/>
            <w:sz w:val="28"/>
            <w:szCs w:val="28"/>
          </w:rPr>
          <w:t>www.lot-online.ru</w:t>
        </w:r>
      </w:hyperlink>
      <w:r w:rsidRPr="006E4316">
        <w:rPr>
          <w:b w:val="0"/>
          <w:sz w:val="28"/>
          <w:szCs w:val="28"/>
          <w:u w:val="single"/>
        </w:rPr>
        <w:t xml:space="preserve"> </w:t>
      </w:r>
    </w:p>
    <w:p w:rsidR="00B32DC7" w:rsidRPr="006E4316" w:rsidRDefault="00B32DC7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 w:rsidRPr="006E4316">
        <w:rPr>
          <w:bCs/>
          <w:sz w:val="28"/>
          <w:szCs w:val="28"/>
        </w:rPr>
        <w:t xml:space="preserve">Дополнительные рекламные мероприятия: </w:t>
      </w:r>
      <w:hyperlink r:id="rId8" w:history="1">
        <w:r w:rsidRPr="006E4316">
          <w:rPr>
            <w:rStyle w:val="a6"/>
            <w:bCs/>
            <w:sz w:val="28"/>
            <w:szCs w:val="28"/>
          </w:rPr>
          <w:t>www.yakutskenergo.ru</w:t>
        </w:r>
      </w:hyperlink>
      <w:r w:rsidRPr="006E4316">
        <w:rPr>
          <w:bCs/>
          <w:sz w:val="28"/>
          <w:szCs w:val="28"/>
        </w:rPr>
        <w:t xml:space="preserve">, </w:t>
      </w:r>
      <w:hyperlink r:id="rId9" w:history="1">
        <w:r w:rsidRPr="006E4316">
          <w:rPr>
            <w:rStyle w:val="a6"/>
            <w:bCs/>
            <w:sz w:val="28"/>
            <w:szCs w:val="28"/>
          </w:rPr>
          <w:t>www.rushydro.ru</w:t>
        </w:r>
      </w:hyperlink>
      <w:r w:rsidRPr="006E4316">
        <w:rPr>
          <w:bCs/>
          <w:sz w:val="28"/>
          <w:szCs w:val="28"/>
        </w:rPr>
        <w:t xml:space="preserve">,   </w:t>
      </w:r>
      <w:hyperlink r:id="rId10" w:history="1">
        <w:r w:rsidRPr="006E4316">
          <w:rPr>
            <w:rStyle w:val="a6"/>
            <w:bCs/>
            <w:sz w:val="28"/>
            <w:szCs w:val="28"/>
          </w:rPr>
          <w:t>www.avito.ru</w:t>
        </w:r>
      </w:hyperlink>
      <w:r w:rsidRPr="006E4316">
        <w:rPr>
          <w:bCs/>
          <w:sz w:val="28"/>
          <w:szCs w:val="28"/>
        </w:rPr>
        <w:t xml:space="preserve">, </w:t>
      </w:r>
      <w:hyperlink r:id="rId11" w:history="1">
        <w:r w:rsidRPr="006E4316">
          <w:rPr>
            <w:rStyle w:val="a6"/>
            <w:bCs/>
            <w:sz w:val="28"/>
            <w:szCs w:val="28"/>
          </w:rPr>
          <w:t>www.ykt.ru</w:t>
        </w:r>
      </w:hyperlink>
      <w:r w:rsidRPr="006E4316">
        <w:rPr>
          <w:bCs/>
          <w:sz w:val="28"/>
          <w:szCs w:val="28"/>
        </w:rPr>
        <w:t xml:space="preserve"> и </w:t>
      </w:r>
      <w:hyperlink r:id="rId12" w:history="1">
        <w:r w:rsidRPr="006E4316">
          <w:rPr>
            <w:rStyle w:val="a6"/>
            <w:bCs/>
            <w:sz w:val="28"/>
            <w:szCs w:val="28"/>
          </w:rPr>
          <w:t>www.mirok.ru</w:t>
        </w:r>
      </w:hyperlink>
    </w:p>
    <w:sectPr w:rsidR="00B32DC7" w:rsidRPr="006E4316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A8D"/>
    <w:multiLevelType w:val="multilevel"/>
    <w:tmpl w:val="3F203B1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14"/>
        </w:tabs>
        <w:ind w:left="2214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287"/>
        </w:tabs>
        <w:ind w:left="128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32DD0DBD"/>
    <w:multiLevelType w:val="hybridMultilevel"/>
    <w:tmpl w:val="B494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43CD1"/>
    <w:rsid w:val="0009530F"/>
    <w:rsid w:val="001939A6"/>
    <w:rsid w:val="002850A3"/>
    <w:rsid w:val="002D7BA1"/>
    <w:rsid w:val="00322F5C"/>
    <w:rsid w:val="00745572"/>
    <w:rsid w:val="00892EEC"/>
    <w:rsid w:val="00990CAF"/>
    <w:rsid w:val="00A3285B"/>
    <w:rsid w:val="00B32DC7"/>
    <w:rsid w:val="00BD6D79"/>
    <w:rsid w:val="00CA61AD"/>
    <w:rsid w:val="00CF64DE"/>
    <w:rsid w:val="00FA28F2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5097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A3285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link w:val="30"/>
    <w:qFormat/>
    <w:rsid w:val="00A3285B"/>
    <w:pPr>
      <w:keepNext/>
      <w:numPr>
        <w:ilvl w:val="2"/>
        <w:numId w:val="1"/>
      </w:numPr>
      <w:spacing w:after="120"/>
      <w:jc w:val="left"/>
      <w:outlineLvl w:val="2"/>
    </w:pPr>
    <w:rPr>
      <w:b/>
      <w:snapToGrid w:val="0"/>
    </w:rPr>
  </w:style>
  <w:style w:type="paragraph" w:styleId="4">
    <w:name w:val="heading 4"/>
    <w:basedOn w:val="a2"/>
    <w:next w:val="a2"/>
    <w:link w:val="40"/>
    <w:qFormat/>
    <w:rsid w:val="00A3285B"/>
    <w:pPr>
      <w:keepNext/>
      <w:numPr>
        <w:ilvl w:val="3"/>
        <w:numId w:val="1"/>
      </w:numPr>
      <w:tabs>
        <w:tab w:val="left" w:pos="1134"/>
      </w:tabs>
      <w:spacing w:before="240" w:after="120"/>
      <w:outlineLvl w:val="3"/>
    </w:pPr>
    <w:rPr>
      <w:b/>
      <w:i/>
      <w:snapToGrid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B32DC7"/>
    <w:rPr>
      <w:color w:val="0000FF"/>
      <w:u w:val="single"/>
    </w:rPr>
  </w:style>
  <w:style w:type="character" w:customStyle="1" w:styleId="a7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2"/>
    <w:qFormat/>
    <w:rsid w:val="00B32DC7"/>
    <w:rPr>
      <w:b/>
      <w:sz w:val="20"/>
      <w:szCs w:val="24"/>
    </w:rPr>
  </w:style>
  <w:style w:type="character" w:customStyle="1" w:styleId="30">
    <w:name w:val="Заголовок 3 Знак"/>
    <w:basedOn w:val="a3"/>
    <w:link w:val="3"/>
    <w:rsid w:val="00A3285B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A3285B"/>
    <w:rPr>
      <w:rFonts w:ascii="Times New Roman" w:eastAsia="Times New Roman" w:hAnsi="Times New Roman" w:cs="Times New Roman"/>
      <w:b/>
      <w:i/>
      <w:snapToGrid w:val="0"/>
      <w:sz w:val="26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 Знак Знак1,Заголовок 2 Знак3 Знак,Заголовок 2 Знак1 Знак Знак Знак Знак,Заголовок 2 Знак1 Знак Знак Знак1"/>
    <w:basedOn w:val="a3"/>
    <w:link w:val="2"/>
    <w:rsid w:val="00A3285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8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,ТТ_Требование Знак"/>
    <w:link w:val="a9"/>
    <w:uiPriority w:val="34"/>
    <w:qFormat/>
    <w:locked/>
    <w:rsid w:val="00A3285B"/>
    <w:rPr>
      <w:rFonts w:ascii="Geneva CY" w:eastAsia="Geneva" w:hAnsi="Geneva CY" w:cs="Times New Roman"/>
      <w:sz w:val="24"/>
      <w:szCs w:val="26"/>
    </w:rPr>
  </w:style>
  <w:style w:type="character" w:customStyle="1" w:styleId="21">
    <w:name w:val="Пункт21"/>
    <w:link w:val="a"/>
    <w:qFormat/>
    <w:rsid w:val="00A3285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">
    <w:name w:val="Пункт"/>
    <w:basedOn w:val="a2"/>
    <w:link w:val="21"/>
    <w:qFormat/>
    <w:rsid w:val="00A3285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A3285B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qFormat/>
    <w:rsid w:val="00A3285B"/>
    <w:pPr>
      <w:numPr>
        <w:ilvl w:val="4"/>
      </w:numPr>
      <w:tabs>
        <w:tab w:val="clear" w:pos="1287"/>
        <w:tab w:val="num" w:pos="360"/>
      </w:tabs>
    </w:pPr>
  </w:style>
  <w:style w:type="paragraph" w:styleId="a9">
    <w:name w:val="List Paragraph"/>
    <w:aliases w:val="Алроса_маркер (Уровень 4),Маркер,ПАРАГРАФ,Абзац списка2,Table-Normal,RSHB_Table-Normal,Заголовок_3,Подпись рисунка,ТТ_Требование"/>
    <w:basedOn w:val="a2"/>
    <w:link w:val="a8"/>
    <w:uiPriority w:val="34"/>
    <w:qFormat/>
    <w:rsid w:val="00A3285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utskenerg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mi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ykt.ru" TargetMode="External"/><Relationship Id="rId5" Type="http://schemas.openxmlformats.org/officeDocument/2006/relationships/hyperlink" Target="mailto:kulaginaav@yakutskenergo.ru" TargetMode="External"/><Relationship Id="rId10" Type="http://schemas.openxmlformats.org/officeDocument/2006/relationships/hyperlink" Target="http://www.avi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9</cp:revision>
  <dcterms:created xsi:type="dcterms:W3CDTF">2025-10-08T01:24:00Z</dcterms:created>
  <dcterms:modified xsi:type="dcterms:W3CDTF">2025-10-23T06:55:00Z</dcterms:modified>
</cp:coreProperties>
</file>