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CB9D68" w14:textId="77777777" w:rsidR="001C39B1" w:rsidRDefault="00000000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2F628330" w14:textId="77777777" w:rsidR="001C39B1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714F8B32" w14:textId="77777777" w:rsidR="001C39B1" w:rsidRDefault="00000000">
      <w:pPr>
        <w:pStyle w:val="a4"/>
      </w:pPr>
      <w:r>
        <w:rPr>
          <w:sz w:val="24"/>
          <w:szCs w:val="24"/>
        </w:rPr>
        <w:t>Договор о задатке №____</w:t>
      </w:r>
    </w:p>
    <w:p w14:paraId="139BF74D" w14:textId="77777777" w:rsidR="001C39B1" w:rsidRDefault="00000000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16AFB72" w14:textId="77777777" w:rsidR="001C39B1" w:rsidRDefault="001C39B1">
      <w:pPr>
        <w:pStyle w:val="a4"/>
        <w:rPr>
          <w:b w:val="0"/>
          <w:bCs w:val="0"/>
          <w:spacing w:val="30"/>
          <w:sz w:val="24"/>
          <w:szCs w:val="24"/>
        </w:rPr>
      </w:pPr>
    </w:p>
    <w:p w14:paraId="603D2046" w14:textId="77777777" w:rsidR="001C39B1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40C11CC" w14:textId="77777777" w:rsidR="001C39B1" w:rsidRDefault="00000000" w:rsidP="00516B14">
      <w:pPr>
        <w:ind w:right="-57"/>
        <w:jc w:val="both"/>
        <w:rPr>
          <w:sz w:val="22"/>
          <w:szCs w:val="22"/>
          <w:lang w:eastAsia="ru-RU"/>
        </w:rPr>
      </w:pPr>
      <w:r>
        <w:t>1. В соответствии с условиями настоящего Договора Претендент для участия в электронных торгах по продаже</w:t>
      </w:r>
      <w:r>
        <w:rPr>
          <w:sz w:val="22"/>
          <w:szCs w:val="22"/>
          <w:lang w:eastAsia="ru-RU"/>
        </w:rPr>
        <w:t>:</w:t>
      </w:r>
    </w:p>
    <w:p w14:paraId="6491A714" w14:textId="784F3047" w:rsidR="00516B14" w:rsidRPr="003828DF" w:rsidRDefault="00000000" w:rsidP="00516B14">
      <w:pPr>
        <w:pStyle w:val="a9"/>
        <w:numPr>
          <w:ilvl w:val="1"/>
          <w:numId w:val="1"/>
        </w:numPr>
        <w:spacing w:after="11" w:line="264" w:lineRule="auto"/>
        <w:ind w:right="113"/>
        <w:jc w:val="both"/>
      </w:pPr>
      <w:r w:rsidRPr="00516B14">
        <w:rPr>
          <w:b/>
          <w:bCs/>
          <w:sz w:val="22"/>
          <w:szCs w:val="22"/>
          <w:lang w:eastAsia="ru-RU"/>
        </w:rPr>
        <w:t xml:space="preserve"> </w:t>
      </w:r>
      <w:r w:rsidR="00516B14" w:rsidRPr="00516B14">
        <w:rPr>
          <w:rFonts w:eastAsia="SimSun;宋体" w:cs="Tahoma"/>
          <w:b/>
          <w:bCs/>
          <w:lang w:eastAsia="hi-IN" w:bidi="hi-IN"/>
        </w:rPr>
        <w:t>Здание</w:t>
      </w:r>
      <w:r w:rsidR="00516B14" w:rsidRPr="003828DF">
        <w:rPr>
          <w:rFonts w:eastAsia="SimSun;宋体" w:cs="Tahoma"/>
          <w:lang w:eastAsia="hi-IN" w:bidi="hi-IN"/>
        </w:rPr>
        <w:t>:</w:t>
      </w:r>
      <w:r w:rsidR="00516B14" w:rsidRPr="003828DF">
        <w:t xml:space="preserve"> </w:t>
      </w:r>
      <w:r w:rsidR="00516B14">
        <w:t>г. Санкт-Петербург, Октябрьская набережная, дом 40, литера Т</w:t>
      </w:r>
    </w:p>
    <w:p w14:paraId="42C3A932" w14:textId="77777777" w:rsidR="00516B14" w:rsidRPr="00516B14" w:rsidRDefault="00516B14" w:rsidP="00516B14">
      <w:pPr>
        <w:ind w:right="113"/>
      </w:pPr>
      <w:bookmarkStart w:id="0" w:name="_Hlk194312409"/>
      <w:bookmarkStart w:id="1" w:name="_Hlk196230036"/>
      <w:r>
        <w:t>Кадастровый номер</w:t>
      </w:r>
      <w:bookmarkEnd w:id="1"/>
      <w:r w:rsidRPr="00EC169F">
        <w:t xml:space="preserve">: </w:t>
      </w:r>
      <w:bookmarkEnd w:id="0"/>
      <w:r>
        <w:t>78:12:0633105:1007</w:t>
      </w:r>
    </w:p>
    <w:p w14:paraId="673EB176" w14:textId="77777777" w:rsidR="00516B14" w:rsidRPr="003828DF" w:rsidRDefault="00516B14" w:rsidP="00516B14">
      <w:pPr>
        <w:ind w:right="113"/>
      </w:pPr>
      <w:r>
        <w:t>Назначение</w:t>
      </w:r>
      <w:r w:rsidRPr="003828DF">
        <w:t xml:space="preserve">: </w:t>
      </w:r>
      <w:r>
        <w:t>Нежилое</w:t>
      </w:r>
    </w:p>
    <w:p w14:paraId="6B2AF4F3" w14:textId="77777777" w:rsidR="00516B14" w:rsidRDefault="00516B14" w:rsidP="00516B14">
      <w:pPr>
        <w:ind w:right="113"/>
      </w:pPr>
      <w:r>
        <w:t>Площадь</w:t>
      </w:r>
      <w:r w:rsidRPr="003828DF">
        <w:t>:335</w:t>
      </w:r>
      <w:r>
        <w:t xml:space="preserve"> кв.м.</w:t>
      </w:r>
    </w:p>
    <w:p w14:paraId="6A03FC7F" w14:textId="77777777" w:rsidR="00516B14" w:rsidRDefault="00516B14" w:rsidP="00516B14">
      <w:pPr>
        <w:ind w:right="113"/>
      </w:pPr>
      <w:r>
        <w:t>Этажей</w:t>
      </w:r>
      <w:r w:rsidRPr="0019617E">
        <w:t xml:space="preserve">: </w:t>
      </w:r>
      <w:r>
        <w:t>2, в том числе подземных 0</w:t>
      </w:r>
    </w:p>
    <w:p w14:paraId="35FA7578" w14:textId="77777777" w:rsidR="00516B14" w:rsidRPr="00516B14" w:rsidRDefault="00516B14" w:rsidP="00516B14">
      <w:pPr>
        <w:ind w:right="113"/>
        <w:rPr>
          <w:rFonts w:eastAsia="SimSun;宋体" w:cs="Tahoma"/>
          <w:lang w:eastAsia="hi-IN" w:bidi="hi-IN"/>
        </w:rPr>
      </w:pPr>
      <w:r>
        <w:t>Собственность 78-78-40/033/2013-018 12.07.2013</w:t>
      </w:r>
    </w:p>
    <w:p w14:paraId="6479548F" w14:textId="30FAD906" w:rsidR="00516B14" w:rsidRDefault="00516B14" w:rsidP="00516B14">
      <w:pPr>
        <w:ind w:right="113"/>
      </w:pPr>
      <w:r>
        <w:rPr>
          <w:rFonts w:eastAsia="SimSun;宋体" w:cs="Tahoma"/>
          <w:b/>
          <w:lang w:eastAsia="hi-IN" w:bidi="hi-IN"/>
        </w:rPr>
        <w:t>1.2</w:t>
      </w:r>
      <w:r>
        <w:rPr>
          <w:rFonts w:eastAsia="SimSun;宋体" w:cs="Tahoma"/>
          <w:lang w:eastAsia="hi-IN" w:bidi="hi-IN"/>
        </w:rPr>
        <w:t xml:space="preserve">. </w:t>
      </w:r>
      <w:r w:rsidRPr="00516B14">
        <w:rPr>
          <w:rFonts w:eastAsia="SimSun;宋体" w:cs="Tahoma"/>
          <w:b/>
          <w:bCs/>
          <w:lang w:eastAsia="hi-IN" w:bidi="hi-IN"/>
        </w:rPr>
        <w:t>Земельный участок</w:t>
      </w:r>
      <w:r>
        <w:rPr>
          <w:rFonts w:eastAsia="SimSun;宋体" w:cs="Tahoma"/>
          <w:lang w:eastAsia="hi-IN" w:bidi="hi-IN"/>
        </w:rPr>
        <w:t xml:space="preserve">, </w:t>
      </w:r>
      <w:r>
        <w:t>г. Санкт-Петербург, Октябрьская набережная, дом 40, литера Т.</w:t>
      </w:r>
    </w:p>
    <w:p w14:paraId="1DADD53B" w14:textId="77777777" w:rsidR="00516B14" w:rsidRDefault="00516B14" w:rsidP="00516B14">
      <w:pPr>
        <w:ind w:right="113"/>
      </w:pPr>
      <w:r>
        <w:rPr>
          <w:rFonts w:eastAsia="SimSun;宋体" w:cs="Tahoma"/>
          <w:b/>
          <w:lang w:eastAsia="hi-IN" w:bidi="hi-IN"/>
        </w:rPr>
        <w:t>Площадь</w:t>
      </w:r>
      <w:r w:rsidRPr="0019617E">
        <w:rPr>
          <w:rFonts w:eastAsia="SimSun;宋体" w:cs="Tahoma"/>
          <w:b/>
          <w:lang w:eastAsia="hi-IN" w:bidi="hi-IN"/>
        </w:rPr>
        <w:t>:</w:t>
      </w:r>
      <w:r w:rsidRPr="0019617E">
        <w:t xml:space="preserve"> 314 </w:t>
      </w:r>
      <w:proofErr w:type="spellStart"/>
      <w:proofErr w:type="gramStart"/>
      <w:r>
        <w:t>кв.м</w:t>
      </w:r>
      <w:proofErr w:type="spellEnd"/>
      <w:proofErr w:type="gramEnd"/>
      <w:r w:rsidRPr="0019617E">
        <w:t xml:space="preserve">  </w:t>
      </w:r>
    </w:p>
    <w:p w14:paraId="30DA05C3" w14:textId="77777777" w:rsidR="00516B14" w:rsidRPr="00516B14" w:rsidRDefault="00516B14" w:rsidP="00516B14">
      <w:pPr>
        <w:ind w:right="113"/>
      </w:pPr>
      <w:r w:rsidRPr="0019617E">
        <w:rPr>
          <w:b/>
          <w:bCs/>
        </w:rPr>
        <w:t>Кадастровый номер</w:t>
      </w:r>
      <w:r w:rsidRPr="00516B14">
        <w:t>:</w:t>
      </w:r>
      <w:r w:rsidRPr="0019617E">
        <w:t xml:space="preserve"> </w:t>
      </w:r>
      <w:r>
        <w:t>78:12:0633105:1019</w:t>
      </w:r>
    </w:p>
    <w:p w14:paraId="371BCEB3" w14:textId="77777777" w:rsidR="00516B14" w:rsidRPr="00516B14" w:rsidRDefault="00516B14" w:rsidP="00516B14">
      <w:pPr>
        <w:ind w:right="113"/>
      </w:pPr>
      <w:r w:rsidRPr="0019617E">
        <w:rPr>
          <w:b/>
          <w:bCs/>
        </w:rPr>
        <w:t>Категория земель:</w:t>
      </w:r>
      <w:r>
        <w:t xml:space="preserve"> Земли населенных пунктов</w:t>
      </w:r>
    </w:p>
    <w:p w14:paraId="40D58018" w14:textId="4067FFA6" w:rsidR="00516B14" w:rsidRDefault="00516B14" w:rsidP="00516B14">
      <w:pPr>
        <w:ind w:right="113"/>
      </w:pPr>
      <w:r>
        <w:t xml:space="preserve">Ограничение прав и обременение объекта недвижимости: </w:t>
      </w:r>
    </w:p>
    <w:p w14:paraId="599FF51B" w14:textId="096D6D54" w:rsidR="00516B14" w:rsidRPr="00B123C2" w:rsidRDefault="00E277A4" w:rsidP="00516B14">
      <w:pPr>
        <w:ind w:right="113"/>
      </w:pPr>
      <w:r>
        <w:t>Вид</w:t>
      </w:r>
      <w:r w:rsidRPr="00E277A4">
        <w:t xml:space="preserve">: </w:t>
      </w:r>
      <w:r w:rsidR="00516B14">
        <w:t xml:space="preserve">Аренда дата государственной регистрации: 06.07.2016 номер государственной регистрации: 78-78/040-78/116/008/2016-351/2 </w:t>
      </w:r>
    </w:p>
    <w:p w14:paraId="688AE539" w14:textId="77777777" w:rsidR="00516B14" w:rsidRPr="0019617E" w:rsidRDefault="00516B14" w:rsidP="00516B14">
      <w:pPr>
        <w:ind w:right="113"/>
      </w:pPr>
      <w:r>
        <w:t>С</w:t>
      </w:r>
      <w:r w:rsidRPr="0019617E">
        <w:t>рок, на который установлены ограничение прав и</w:t>
      </w:r>
      <w:r>
        <w:t xml:space="preserve"> </w:t>
      </w:r>
      <w:r w:rsidRPr="0019617E">
        <w:t>обременение объекта недвижимости</w:t>
      </w:r>
    </w:p>
    <w:p w14:paraId="3388A26F" w14:textId="77777777" w:rsidR="00516B14" w:rsidRPr="0019617E" w:rsidRDefault="00516B14" w:rsidP="00516B14">
      <w:pPr>
        <w:ind w:right="113"/>
      </w:pPr>
      <w:r w:rsidRPr="0019617E">
        <w:t>Срок действия с 06.07.2016 по 31.12.2064 с 06.07.2016 по 31.12.2064</w:t>
      </w:r>
    </w:p>
    <w:p w14:paraId="71C5388D" w14:textId="4EAE741B" w:rsidR="001C39B1" w:rsidRPr="00516B14" w:rsidRDefault="00000000" w:rsidP="00516B14">
      <w:pPr>
        <w:ind w:right="113"/>
        <w:rPr>
          <w:b/>
          <w:bCs/>
        </w:rPr>
      </w:pPr>
      <w:r>
        <w:t xml:space="preserve">перечисляет денежные средства </w:t>
      </w:r>
      <w:r>
        <w:rPr>
          <w:b/>
        </w:rPr>
        <w:t xml:space="preserve">в размере 5 000 000 (Пять миллионов) рублей 00 копеек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36177C0C" w14:textId="77777777" w:rsidR="001C39B1" w:rsidRDefault="00000000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3DFEB7E5" w14:textId="77777777" w:rsidR="001C39B1" w:rsidRDefault="00000000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6FE1965E" w14:textId="77777777" w:rsidR="001C39B1" w:rsidRDefault="00000000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3C528D9C" w14:textId="77777777" w:rsidR="001C39B1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460F5E15" w14:textId="77777777" w:rsidR="001C39B1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6991F3F" w14:textId="77777777" w:rsidR="001C39B1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B50A900" w14:textId="77777777" w:rsidR="001C39B1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</w:t>
      </w:r>
      <w:proofErr w:type="gramStart"/>
      <w:r>
        <w:t>сообщении  о</w:t>
      </w:r>
      <w:proofErr w:type="gramEnd"/>
      <w:r>
        <w:t xml:space="preserve"> </w:t>
      </w:r>
      <w:proofErr w:type="gramStart"/>
      <w:r>
        <w:t>проведении  торгов</w:t>
      </w:r>
      <w:proofErr w:type="gramEnd"/>
      <w:r>
        <w:t>.</w:t>
      </w:r>
    </w:p>
    <w:p w14:paraId="70703B2A" w14:textId="77777777" w:rsidR="001C39B1" w:rsidRDefault="00000000">
      <w:pPr>
        <w:ind w:firstLine="567"/>
        <w:jc w:val="both"/>
      </w:pPr>
      <w:r>
        <w:lastRenderedPageBreak/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C9AB61E" w14:textId="77777777" w:rsidR="001C39B1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76495A1D" w14:textId="77777777" w:rsidR="001C39B1" w:rsidRDefault="0000000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7712F3BB" w14:textId="77777777" w:rsidR="001C39B1" w:rsidRDefault="0000000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D1D4E09" w14:textId="77777777" w:rsidR="001C39B1" w:rsidRDefault="0000000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84787E9" w14:textId="77777777" w:rsidR="001C39B1" w:rsidRDefault="00000000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4B35CAEA" w14:textId="77777777" w:rsidR="001C39B1" w:rsidRDefault="001C39B1">
      <w:pPr>
        <w:jc w:val="both"/>
      </w:pPr>
    </w:p>
    <w:p w14:paraId="69B6419B" w14:textId="77777777" w:rsidR="001C39B1" w:rsidRDefault="00000000">
      <w:pPr>
        <w:ind w:firstLine="284"/>
        <w:jc w:val="center"/>
      </w:pPr>
      <w:r>
        <w:rPr>
          <w:b/>
          <w:bCs/>
        </w:rPr>
        <w:t>Реквизиты сторон:</w:t>
      </w:r>
    </w:p>
    <w:p w14:paraId="0FFFC5E8" w14:textId="77777777" w:rsidR="001C39B1" w:rsidRDefault="001C39B1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1C39B1" w14:paraId="5AB63C86" w14:textId="77777777">
        <w:trPr>
          <w:trHeight w:val="3059"/>
        </w:trPr>
        <w:tc>
          <w:tcPr>
            <w:tcW w:w="4786" w:type="dxa"/>
          </w:tcPr>
          <w:p w14:paraId="62580CA7" w14:textId="77777777" w:rsidR="001C39B1" w:rsidRDefault="00000000">
            <w:r>
              <w:rPr>
                <w:b/>
                <w:bCs/>
              </w:rPr>
              <w:t>Оператор:</w:t>
            </w:r>
          </w:p>
          <w:p w14:paraId="66EA456C" w14:textId="77777777" w:rsidR="001C39B1" w:rsidRDefault="00000000">
            <w:r>
              <w:rPr>
                <w:b/>
              </w:rPr>
              <w:t>Акционерное общество</w:t>
            </w:r>
          </w:p>
          <w:p w14:paraId="44762982" w14:textId="77777777" w:rsidR="001C39B1" w:rsidRDefault="00000000">
            <w:r>
              <w:rPr>
                <w:b/>
              </w:rPr>
              <w:t>«Российский аукционный дом»</w:t>
            </w:r>
          </w:p>
          <w:p w14:paraId="042341F0" w14:textId="77777777" w:rsidR="001C39B1" w:rsidRDefault="001C39B1">
            <w:pPr>
              <w:rPr>
                <w:b/>
              </w:rPr>
            </w:pPr>
          </w:p>
          <w:p w14:paraId="57A54244" w14:textId="77777777" w:rsidR="001C39B1" w:rsidRDefault="00000000">
            <w:r>
              <w:t>Адрес для корреспонденции:</w:t>
            </w:r>
          </w:p>
          <w:p w14:paraId="79EC1FBD" w14:textId="77777777" w:rsidR="001C39B1" w:rsidRDefault="00000000">
            <w:r>
              <w:t>190000 Санкт-Петербург,</w:t>
            </w:r>
          </w:p>
          <w:p w14:paraId="728A8B38" w14:textId="77777777" w:rsidR="001C39B1" w:rsidRDefault="00000000">
            <w:r>
              <w:t>пер. Гривцова, д.5, лит. В</w:t>
            </w:r>
          </w:p>
          <w:p w14:paraId="480BE365" w14:textId="77777777" w:rsidR="001C39B1" w:rsidRDefault="00000000">
            <w:r>
              <w:t>тел. 8 (800) 777-57-57</w:t>
            </w:r>
          </w:p>
          <w:p w14:paraId="0B1F83DE" w14:textId="77777777" w:rsidR="001C39B1" w:rsidRDefault="001C39B1">
            <w:pPr>
              <w:jc w:val="center"/>
            </w:pPr>
          </w:p>
          <w:p w14:paraId="53129DE2" w14:textId="77777777" w:rsidR="001C39B1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C3FD6D3" w14:textId="77777777" w:rsidR="001C39B1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08210977" w14:textId="77777777" w:rsidR="001C39B1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7674BF2B" w14:textId="77777777" w:rsidR="001C39B1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77D6C383" w14:textId="77777777" w:rsidR="001C39B1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05177234" w14:textId="77777777" w:rsidR="001C39B1" w:rsidRDefault="001C39B1">
            <w:pPr>
              <w:ind w:firstLine="284"/>
              <w:jc w:val="both"/>
            </w:pPr>
          </w:p>
        </w:tc>
        <w:tc>
          <w:tcPr>
            <w:tcW w:w="4274" w:type="dxa"/>
          </w:tcPr>
          <w:p w14:paraId="6F84E0DF" w14:textId="77777777" w:rsidR="001C39B1" w:rsidRDefault="0000000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57B3BCC0" w14:textId="77777777" w:rsidR="001C39B1" w:rsidRDefault="0000000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255D07C4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7CFFA0E6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75CC8852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429699DD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269998AA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6D828261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42D0AE29" w14:textId="77777777" w:rsidR="001C39B1" w:rsidRDefault="001C39B1">
            <w:pPr>
              <w:jc w:val="both"/>
            </w:pPr>
          </w:p>
        </w:tc>
      </w:tr>
    </w:tbl>
    <w:p w14:paraId="1C3CD485" w14:textId="77777777" w:rsidR="001C39B1" w:rsidRDefault="00000000">
      <w:pPr>
        <w:ind w:firstLine="284"/>
        <w:jc w:val="both"/>
      </w:pPr>
      <w:r>
        <w:rPr>
          <w:b/>
          <w:bCs/>
        </w:rPr>
        <w:t xml:space="preserve">        </w:t>
      </w:r>
    </w:p>
    <w:p w14:paraId="64B1C51C" w14:textId="77777777" w:rsidR="001C39B1" w:rsidRDefault="00000000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12E3B85D" w14:textId="77777777" w:rsidR="001C39B1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45247E8F" w14:textId="77777777" w:rsidR="001C39B1" w:rsidRDefault="001C39B1"/>
    <w:p w14:paraId="24180553" w14:textId="77777777" w:rsidR="001C39B1" w:rsidRDefault="001C39B1"/>
    <w:sectPr w:rsidR="001C39B1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95FE" w14:textId="77777777" w:rsidR="00946FF8" w:rsidRDefault="00946FF8">
      <w:r>
        <w:separator/>
      </w:r>
    </w:p>
  </w:endnote>
  <w:endnote w:type="continuationSeparator" w:id="0">
    <w:p w14:paraId="1B55EE31" w14:textId="77777777" w:rsidR="00946FF8" w:rsidRDefault="0094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E849" w14:textId="77777777" w:rsidR="00946FF8" w:rsidRDefault="00946FF8">
      <w:r>
        <w:separator/>
      </w:r>
    </w:p>
  </w:footnote>
  <w:footnote w:type="continuationSeparator" w:id="0">
    <w:p w14:paraId="024F1AC0" w14:textId="77777777" w:rsidR="00946FF8" w:rsidRDefault="00946FF8">
      <w:r>
        <w:continuationSeparator/>
      </w:r>
    </w:p>
  </w:footnote>
  <w:footnote w:id="1">
    <w:p w14:paraId="5EDA776F" w14:textId="77777777" w:rsidR="001C39B1" w:rsidRDefault="0000000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74F1"/>
    <w:multiLevelType w:val="multilevel"/>
    <w:tmpl w:val="31723C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  <w:b/>
        <w:color w:val="auto"/>
      </w:rPr>
    </w:lvl>
  </w:abstractNum>
  <w:num w:numId="1" w16cid:durableId="46276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B1"/>
    <w:rsid w:val="001C39B1"/>
    <w:rsid w:val="004D160B"/>
    <w:rsid w:val="00516B14"/>
    <w:rsid w:val="00946FF8"/>
    <w:rsid w:val="00E277A4"/>
    <w:rsid w:val="00E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C679"/>
  <w15:docId w15:val="{3E8E7C9E-777A-49A9-B248-2EEBDB81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styleId="a5">
    <w:name w:val="Body Text"/>
    <w:basedOn w:val="a"/>
    <w:pPr>
      <w:spacing w:after="140" w:line="276" w:lineRule="auto"/>
    </w:pPr>
  </w:style>
  <w:style w:type="paragraph" w:styleId="affc">
    <w:name w:val="List"/>
    <w:basedOn w:val="a5"/>
    <w:rPr>
      <w:rFonts w:cs="Mangal"/>
    </w:rPr>
  </w:style>
  <w:style w:type="paragraph" w:customStyle="1" w:styleId="28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b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b"/>
    <w:next w:val="1b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Гайворон Александр Владимирович</cp:lastModifiedBy>
  <cp:revision>2</cp:revision>
  <dcterms:created xsi:type="dcterms:W3CDTF">2025-04-22T13:27:00Z</dcterms:created>
  <dcterms:modified xsi:type="dcterms:W3CDTF">2025-04-22T13:27:00Z</dcterms:modified>
  <cp:version>983040</cp:version>
</cp:coreProperties>
</file>