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4E6195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E61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4E6195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5C1A0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>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1F1DF0">
        <w:rPr>
          <w:rFonts w:ascii="Times New Roman" w:hAnsi="Times New Roman" w:cs="Times New Roman"/>
          <w:b/>
          <w:lang w:val="ru-RU"/>
        </w:rPr>
        <w:t>электронной площадке</w:t>
      </w:r>
      <w:r w:rsidR="001F1DF0" w:rsidRPr="001F1DF0">
        <w:rPr>
          <w:rFonts w:ascii="Times New Roman" w:hAnsi="Times New Roman" w:cs="Times New Roman"/>
          <w:b/>
          <w:lang w:val="ru-RU"/>
        </w:rPr>
        <w:t xml:space="preserve"> </w:t>
      </w:r>
      <w:r w:rsidR="001F1DF0">
        <w:rPr>
          <w:rFonts w:ascii="Times New Roman" w:hAnsi="Times New Roman" w:cs="Times New Roman"/>
          <w:b/>
          <w:lang w:val="ru-RU"/>
        </w:rPr>
        <w:t>АО «Российский аукционный дом»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r w:rsidR="001F1DF0" w:rsidRPr="001F1DF0">
        <w:t>ru</w:t>
      </w:r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1F1DF0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1F1DF0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1F1DF0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 xml:space="preserve">в стандартной форме, размещаемой на сайте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proofErr w:type="spellStart"/>
      <w:r w:rsidR="001F1DF0" w:rsidRPr="001F1DF0">
        <w:t>ru</w:t>
      </w:r>
      <w:proofErr w:type="spellEnd"/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C2380F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6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proofErr w:type="gram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1F1DF0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1F1DF0" w:rsidRPr="001F1DF0">
        <w:rPr>
          <w:lang w:val="ru-RU"/>
        </w:rPr>
        <w:t xml:space="preserve">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1F1DF0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,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DD7364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4E6195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4E6195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Выдан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B17F86" w:rsidRDefault="004E6195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61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4E6195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B17F86" w:rsidRPr="00B17F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4E6195" w:rsidRPr="004E619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Теплова Наталья </w:t>
            </w:r>
            <w:proofErr w:type="spellStart"/>
            <w:r w:rsidR="004E6195" w:rsidRPr="004E619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Альженовна</w:t>
            </w:r>
            <w:proofErr w:type="spellEnd"/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4E6195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9E199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</w:t>
            </w: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4E6195" w:rsidRPr="004E619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40817810250205064807</w:t>
            </w:r>
            <w:bookmarkStart w:id="0" w:name="_GoBack"/>
            <w:bookmarkEnd w:id="0"/>
          </w:p>
          <w:p w:rsidR="004E6195" w:rsidRDefault="004E6195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</w:p>
          <w:p w:rsidR="004E6195" w:rsidRDefault="004E6195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</w:p>
          <w:p w:rsidR="00A6459B" w:rsidRPr="00A6459B" w:rsidRDefault="00A6459B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DD7364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7EAC"/>
    <w:rsid w:val="0012372F"/>
    <w:rsid w:val="00146F79"/>
    <w:rsid w:val="00152841"/>
    <w:rsid w:val="00162DA5"/>
    <w:rsid w:val="00162FBB"/>
    <w:rsid w:val="001972D3"/>
    <w:rsid w:val="001C1346"/>
    <w:rsid w:val="001F1DF0"/>
    <w:rsid w:val="0020182F"/>
    <w:rsid w:val="0020551B"/>
    <w:rsid w:val="0020603A"/>
    <w:rsid w:val="00217D4F"/>
    <w:rsid w:val="00230513"/>
    <w:rsid w:val="0025202A"/>
    <w:rsid w:val="0025391A"/>
    <w:rsid w:val="002562A9"/>
    <w:rsid w:val="00271B4A"/>
    <w:rsid w:val="00284DC1"/>
    <w:rsid w:val="002932F9"/>
    <w:rsid w:val="002B36E8"/>
    <w:rsid w:val="002B7ABD"/>
    <w:rsid w:val="00330435"/>
    <w:rsid w:val="00333D80"/>
    <w:rsid w:val="00334F2D"/>
    <w:rsid w:val="00342FD8"/>
    <w:rsid w:val="00364A65"/>
    <w:rsid w:val="003A6BE8"/>
    <w:rsid w:val="003D7DB2"/>
    <w:rsid w:val="003F2A69"/>
    <w:rsid w:val="00413BCA"/>
    <w:rsid w:val="004319AD"/>
    <w:rsid w:val="00446A7E"/>
    <w:rsid w:val="00495E32"/>
    <w:rsid w:val="004A038A"/>
    <w:rsid w:val="004A40E7"/>
    <w:rsid w:val="004A4695"/>
    <w:rsid w:val="004A598D"/>
    <w:rsid w:val="004B1063"/>
    <w:rsid w:val="004E6195"/>
    <w:rsid w:val="005217B5"/>
    <w:rsid w:val="005347CD"/>
    <w:rsid w:val="005478FA"/>
    <w:rsid w:val="00553C45"/>
    <w:rsid w:val="00575433"/>
    <w:rsid w:val="005A4180"/>
    <w:rsid w:val="005B1CB2"/>
    <w:rsid w:val="005C1A07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758E1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8D5230"/>
    <w:rsid w:val="00931BEA"/>
    <w:rsid w:val="00982863"/>
    <w:rsid w:val="00992CAD"/>
    <w:rsid w:val="009C2F8F"/>
    <w:rsid w:val="009E1990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1544F"/>
    <w:rsid w:val="00B17F86"/>
    <w:rsid w:val="00B32156"/>
    <w:rsid w:val="00B5345E"/>
    <w:rsid w:val="00BB646A"/>
    <w:rsid w:val="00BC5185"/>
    <w:rsid w:val="00BD0ABB"/>
    <w:rsid w:val="00BF0389"/>
    <w:rsid w:val="00C003F6"/>
    <w:rsid w:val="00C125A4"/>
    <w:rsid w:val="00C2157A"/>
    <w:rsid w:val="00C2380F"/>
    <w:rsid w:val="00C25563"/>
    <w:rsid w:val="00CA0EE2"/>
    <w:rsid w:val="00CA7093"/>
    <w:rsid w:val="00CB154E"/>
    <w:rsid w:val="00CC33A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DD7364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18</cp:revision>
  <cp:lastPrinted>2021-06-07T07:00:00Z</cp:lastPrinted>
  <dcterms:created xsi:type="dcterms:W3CDTF">2023-12-22T12:42:00Z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