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608.00 (+/- 17) кв.м. Местоположение установлено относительно ориентира, расположенного за пределами участка. Почтовый адрес ориентира: Республика Марий Эл, р-н Куженерский, д Чашкаял. Категория земель: земли населенных пунктов. Вид разрешенного использования: для ведения личного подсобного хозяйства.На имущество зарегистрирована ипотека в пользу КПК "Новоселье" (ИНН: 1205003565, ОГРН: 1061226002914). Срок действия с 07.04.2017 с 07.04.2017 по 28.09.2017.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Тешаева (ранее Иванова) Екатерина Борисовна (дата рождения: 16.12.1987 г., место рождения: гор. Стерлитамак Башкирская АССР, СНИЛС 113-946-496 71, ИНН 026812155682, регистрация по месту жительства: 140700, обл. Московская, Шатурский р-н, гор. Шатура, Больничный проезд, д. 11, кв. 8, ком. 3 )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608.00 (+/- 17) кв.м. Местоположение установлено относительно ориентира, расположенного за пределами участка. Почтовый адрес ориентира: Республика Марий Эл, р-н Куженерский, д Чашкаял. Категория земель: земли населенных пунктов. Вид разрешенного использования: для ведения личного подсобного хозяйства.На имущество зарегистрирована ипотека в пользу КПК "Новоселье" (ИНН: 1205003565, ОГРН: 1061226002914). Срок действия с 07.04.2017 с 07.04.2017 по 28.09.2017.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