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F3AE477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A2394C" w:rsidRPr="00A2394C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Мельковская,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0B844076" w14:textId="2277E0E2" w:rsidR="00A2394C" w:rsidRPr="00AE1E52" w:rsidRDefault="00A239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A2394C">
        <w:rPr>
          <w:rFonts w:ascii="Times New Roman" w:hAnsi="Times New Roman" w:cs="Times New Roman"/>
          <w:color w:val="000000"/>
          <w:sz w:val="24"/>
          <w:szCs w:val="24"/>
        </w:rPr>
        <w:t>Здание нежилого назначения - здание склада - 691,8 кв. м, земельный участок - 1 713 +/- 4 кв. м, адрес: Свердловская обл., г. Серов, ул. Лесозаводская, д. 34 на территории оптовой базы, стр. 15, кадастровые номера 66:61:0220016:807, 66:61:0220016:247, земли населенных пунктов - под объект коммунально-складского хозяйства, ограничения и обременения: ограничения прав на земельный участок, предусмотренные ст. 56 Земельного кодекса РФ, ЗОУИТ66:61-6.304 Зона санитарной охраны водозаборного участка скважины № XII-с - источника питьевого и хозяйственно-бытового водоснабжения г. Серов, расположенного на территории Серовского городского округа Свердловской обл. (III пояс)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- </w:t>
      </w:r>
      <w:r w:rsidRPr="00A2394C">
        <w:rPr>
          <w:rFonts w:ascii="Times New Roman" w:hAnsi="Times New Roman" w:cs="Times New Roman"/>
          <w:color w:val="000000"/>
          <w:sz w:val="24"/>
          <w:szCs w:val="24"/>
        </w:rPr>
        <w:t>900 000,00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627500EC" w14:textId="4A08F28B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A2394C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1A82965D" w14:textId="153916C3" w:rsidR="00CB638E" w:rsidRDefault="00A2394C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2 - </w:t>
      </w:r>
      <w:r w:rsidRPr="00A2394C">
        <w:t>Щербак Виктор Юрьевич (поручитель ООО «АрКон», ИНН 6674357199, исключено из ЕГРЮЛ), КД 113-10/МБ от 17.12.2010, КД 49-11/МБ от 12.09.2011, исполнительный лист от 31.10.2024 № ФС 043943032 на сумму 1 662 274,37 руб. (1 662 274,37 руб.)</w:t>
      </w:r>
      <w:r>
        <w:t xml:space="preserve"> - </w:t>
      </w:r>
      <w:r w:rsidRPr="00A2394C">
        <w:t>1 662 274,37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CCEE4A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2394C" w:rsidRPr="00A2394C">
        <w:rPr>
          <w:rFonts w:ascii="Times New Roman CYR" w:hAnsi="Times New Roman CYR" w:cs="Times New Roman CYR"/>
          <w:b/>
          <w:bCs/>
          <w:color w:val="000000"/>
        </w:rPr>
        <w:t>06 октября</w:t>
      </w:r>
      <w:r w:rsidR="00A2394C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5CA113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2394C" w:rsidRPr="00A2394C">
        <w:rPr>
          <w:b/>
          <w:bCs/>
          <w:color w:val="000000"/>
        </w:rPr>
        <w:t>06 октября</w:t>
      </w:r>
      <w:r w:rsidR="00A2394C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A2394C" w:rsidRPr="00A2394C">
        <w:rPr>
          <w:b/>
          <w:bCs/>
          <w:color w:val="000000"/>
        </w:rPr>
        <w:t>24 ноября</w:t>
      </w:r>
      <w:r w:rsidR="00A2394C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5B3D59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2394C" w:rsidRPr="00A2394C">
        <w:rPr>
          <w:b/>
          <w:bCs/>
          <w:color w:val="000000"/>
        </w:rPr>
        <w:t>26 августа 2</w:t>
      </w:r>
      <w:r w:rsidR="009E7E5E" w:rsidRPr="00A2394C">
        <w:rPr>
          <w:b/>
          <w:bCs/>
          <w:color w:val="000000"/>
        </w:rPr>
        <w:t>0</w:t>
      </w:r>
      <w:r w:rsidR="009E7E5E" w:rsidRPr="009E7E5E">
        <w:rPr>
          <w:b/>
          <w:bCs/>
          <w:color w:val="000000"/>
        </w:rPr>
        <w:t>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2394C" w:rsidRPr="00A2394C">
        <w:rPr>
          <w:b/>
          <w:bCs/>
          <w:color w:val="000000"/>
        </w:rPr>
        <w:t>13 октября</w:t>
      </w:r>
      <w:r w:rsidR="00A2394C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EDB1A64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lastRenderedPageBreak/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A2394C">
        <w:rPr>
          <w:b/>
          <w:bCs/>
          <w:color w:val="000000"/>
        </w:rPr>
        <w:t xml:space="preserve">10 декабря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A2394C">
        <w:rPr>
          <w:b/>
          <w:bCs/>
          <w:color w:val="000000"/>
        </w:rPr>
        <w:t xml:space="preserve">27 января </w:t>
      </w:r>
      <w:r w:rsidR="00BD0E8E" w:rsidRPr="005246E8">
        <w:rPr>
          <w:b/>
          <w:bCs/>
          <w:color w:val="000000"/>
        </w:rPr>
        <w:t>202</w:t>
      </w:r>
      <w:r w:rsidR="00A2394C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7E93A8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A2394C" w:rsidRPr="00A2394C">
        <w:rPr>
          <w:b/>
          <w:bCs/>
          <w:color w:val="000000"/>
        </w:rPr>
        <w:t>10 декабря</w:t>
      </w:r>
      <w:r w:rsidR="00A2394C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A2394C">
        <w:rPr>
          <w:color w:val="000000"/>
        </w:rPr>
        <w:t xml:space="preserve">за </w:t>
      </w:r>
      <w:r w:rsidR="00F17038" w:rsidRPr="00A2394C">
        <w:rPr>
          <w:color w:val="000000"/>
        </w:rPr>
        <w:t>1</w:t>
      </w:r>
      <w:r w:rsidRPr="00A2394C">
        <w:rPr>
          <w:color w:val="000000"/>
        </w:rPr>
        <w:t xml:space="preserve"> (</w:t>
      </w:r>
      <w:r w:rsidR="00F17038" w:rsidRPr="00A2394C">
        <w:rPr>
          <w:color w:val="000000"/>
        </w:rPr>
        <w:t>Один</w:t>
      </w:r>
      <w:r w:rsidRPr="00A2394C">
        <w:rPr>
          <w:color w:val="000000"/>
        </w:rPr>
        <w:t>) календарны</w:t>
      </w:r>
      <w:r w:rsidR="00F17038" w:rsidRPr="00A2394C">
        <w:rPr>
          <w:color w:val="000000"/>
        </w:rPr>
        <w:t>й</w:t>
      </w:r>
      <w:r w:rsidRPr="00A2394C">
        <w:rPr>
          <w:color w:val="000000"/>
        </w:rPr>
        <w:t xml:space="preserve"> де</w:t>
      </w:r>
      <w:r w:rsidR="00F17038" w:rsidRPr="00A2394C">
        <w:rPr>
          <w:color w:val="000000"/>
        </w:rPr>
        <w:t>нь</w:t>
      </w:r>
      <w:r w:rsidRPr="00A2394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2039CBAC" w14:textId="10AFF3E9" w:rsidR="00A2394C" w:rsidRDefault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 1:</w:t>
      </w:r>
    </w:p>
    <w:p w14:paraId="04DB38D3" w14:textId="77777777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10 декабря 2025 г. по 14 декабря 2025 г. - в размере начальной цены продажи лота;</w:t>
      </w:r>
    </w:p>
    <w:p w14:paraId="691FA6C1" w14:textId="11082C9D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15 декабря 2025 г. по 19 декабря 2025 г. - в размере 94,94% от начальной цены продажи лота;</w:t>
      </w:r>
    </w:p>
    <w:p w14:paraId="7E4D2B7A" w14:textId="347D90C2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20 декабря 2025 г. по 24 декабря 2025 г. - в размере 89,88% от начальной цены продажи лота;</w:t>
      </w:r>
    </w:p>
    <w:p w14:paraId="7189E0B4" w14:textId="4DBC5ED4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25 декабря 2025 г. по 29 декабря 2025 г. - в размере 84,82% от начальной цены продажи лота;</w:t>
      </w:r>
    </w:p>
    <w:p w14:paraId="517E3D1F" w14:textId="07E71D4B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30 декабря 2025 г. по 03 января 2026 г. - в размере 79,76% от начальной цены продажи лота;</w:t>
      </w:r>
    </w:p>
    <w:p w14:paraId="72FB9F1B" w14:textId="798D120A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04 января 2026 г. по 07 января 2026 г. - в размере 74,70% от начальной цены продажи лота;</w:t>
      </w:r>
    </w:p>
    <w:p w14:paraId="3A13CEA3" w14:textId="31D62237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08 января 2026 г. по 11 января 2026 г. - в размере 69,64% от начальной цены продажи лота;</w:t>
      </w:r>
    </w:p>
    <w:p w14:paraId="24EB188F" w14:textId="610E875A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12 января 2026 г. по 15 января 2026 г. - в размере 64,58% от начальной цены продажи лота;</w:t>
      </w:r>
    </w:p>
    <w:p w14:paraId="6A19FB84" w14:textId="4601065F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16 января 2026 г. по 19 января 2026 г. - в размере 59,52% от начальной цены продажи лота;</w:t>
      </w:r>
    </w:p>
    <w:p w14:paraId="01D2E16E" w14:textId="175DBC1C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20 января 2026 г. по 23 января 2026 г. - в размере 54,46% от начальной цены продажи лота;</w:t>
      </w:r>
    </w:p>
    <w:p w14:paraId="5B24FF02" w14:textId="462F367F" w:rsidR="00A2394C" w:rsidRPr="00A2394C" w:rsidRDefault="00A2394C" w:rsidP="00A239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A2394C">
        <w:rPr>
          <w:bCs/>
          <w:color w:val="000000"/>
        </w:rPr>
        <w:t>с 24 января 2026 г. по 27 января 2026 г. - в размере 49,40% от начальной цены продажи лота</w:t>
      </w:r>
      <w:r>
        <w:rPr>
          <w:bCs/>
          <w:color w:val="000000"/>
        </w:rPr>
        <w:t>.</w:t>
      </w:r>
    </w:p>
    <w:p w14:paraId="447AC59A" w14:textId="7929BBC8" w:rsidR="00097526" w:rsidRPr="00A2394C" w:rsidRDefault="00A2394C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566C455E" w14:textId="77777777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10 декабря 2025 г. по 14 декабря 2025 г. - в размере начальной цены продажи лота;</w:t>
      </w:r>
    </w:p>
    <w:p w14:paraId="12AE1AC4" w14:textId="421CC9F0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15 декабря 2025 г. по 19 декабря 2025 г. - в размере 90,06% от начальной цены продажи лота;</w:t>
      </w:r>
    </w:p>
    <w:p w14:paraId="3C458F18" w14:textId="5EA6EAE7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20 декабря 2025 г. по 24 декабря 2025 г. - в размере 80,12% от начальной цены продажи лота;</w:t>
      </w:r>
    </w:p>
    <w:p w14:paraId="538F66E8" w14:textId="3F7A08D2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25 декабря 2025 г. по 29 декабря 2025 г. - в размере 70,18% от начальной цены продажи лота;</w:t>
      </w:r>
    </w:p>
    <w:p w14:paraId="3F6BAE4B" w14:textId="584F9BC7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30 декабря 2025 г. по 03 января 2026 г. - в размере 60,24% от начальной цены продажи лота;</w:t>
      </w:r>
    </w:p>
    <w:p w14:paraId="210A4F2F" w14:textId="129F3B48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04 января 2026 г. по 07 января 2026 г. - в размере 50,30% от начальной цены продажи лота;</w:t>
      </w:r>
    </w:p>
    <w:p w14:paraId="238C930C" w14:textId="466DBE7A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08 января 2026 г. по 11 января 2026 г. - в размере 40,36% от начальной цены продажи лота;</w:t>
      </w:r>
    </w:p>
    <w:p w14:paraId="62F1E616" w14:textId="0260312C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12 января 2026 г. по 15 января 2026 г. - в размере 30,42% от начальной цены продажи лота;</w:t>
      </w:r>
    </w:p>
    <w:p w14:paraId="7514B2B4" w14:textId="539E1843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16 января 2026 г. по 19 января 2026 г. - в размере 20,48% от начальной цены продажи лота;</w:t>
      </w:r>
    </w:p>
    <w:p w14:paraId="3618A5FE" w14:textId="2E24A1EC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20 января 2026 г. по 23 января 2026 г. - в размере 10,54% от начальной цены продажи лота;</w:t>
      </w:r>
    </w:p>
    <w:p w14:paraId="4DFA10DC" w14:textId="6E9FB0D8" w:rsidR="00A2394C" w:rsidRPr="00A2394C" w:rsidRDefault="00A2394C" w:rsidP="00A23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с 24 января 2026 г. по 27 января 2026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A2394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94C">
        <w:rPr>
          <w:rFonts w:ascii="Times New Roman" w:hAnsi="Times New Roman" w:cs="Times New Roman"/>
          <w:sz w:val="24"/>
          <w:szCs w:val="24"/>
        </w:rPr>
        <w:lastRenderedPageBreak/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A2394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94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A2394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94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A2394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94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FC4C1CD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A2394C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A2394C" w:rsidRPr="00A2394C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A2394C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A2394C" w:rsidRPr="00A2394C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A2394C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A2394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</w:t>
      </w:r>
      <w:r w:rsidRPr="00A2394C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A2394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2394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AC02EAE" w14:textId="6D8D7EFF" w:rsidR="002E2F8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2E2F88" w:rsidRPr="002E2F88">
        <w:rPr>
          <w:rFonts w:ascii="Times New Roman" w:hAnsi="Times New Roman" w:cs="Times New Roman"/>
          <w:color w:val="000000"/>
          <w:sz w:val="24"/>
          <w:szCs w:val="24"/>
        </w:rPr>
        <w:t>КУ с 10:00 до 1</w:t>
      </w:r>
      <w:r w:rsidR="002E2F8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E2F88" w:rsidRPr="002E2F88">
        <w:rPr>
          <w:rFonts w:ascii="Times New Roman" w:hAnsi="Times New Roman" w:cs="Times New Roman"/>
          <w:color w:val="000000"/>
          <w:sz w:val="24"/>
          <w:szCs w:val="24"/>
        </w:rPr>
        <w:t>:00 по адресу: г. Екатеринбург, ул. Куйбышева, д. 12, тел. 8 800 200-08-05, 8 800 505-80-32, эл. почта etorgi@asv.org.ru; у ОТ:</w:t>
      </w:r>
      <w:r w:rsidR="00CE0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04A3" w:rsidRPr="00CE04A3">
        <w:rPr>
          <w:rFonts w:ascii="Times New Roman" w:hAnsi="Times New Roman" w:cs="Times New Roman"/>
          <w:color w:val="000000"/>
          <w:sz w:val="24"/>
          <w:szCs w:val="24"/>
        </w:rPr>
        <w:t>тел. 8-967-268-63-20 (мск+2 часа), эл.почта: ekb@auction-house.ru</w:t>
      </w:r>
      <w:r w:rsidR="00CE04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7EA20856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94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E2F88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A49A3"/>
    <w:rsid w:val="00924745"/>
    <w:rsid w:val="00950CC9"/>
    <w:rsid w:val="009A1244"/>
    <w:rsid w:val="009C353B"/>
    <w:rsid w:val="009C4FD4"/>
    <w:rsid w:val="009E11A5"/>
    <w:rsid w:val="009E6456"/>
    <w:rsid w:val="009E7E5E"/>
    <w:rsid w:val="00A2394C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CE04A3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A586-9F57-4E70-AF61-3E12261C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2484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2025-08-18T09:34:00Z</dcterms:created>
  <dcterms:modified xsi:type="dcterms:W3CDTF">2025-08-18T09:38:00Z</dcterms:modified>
</cp:coreProperties>
</file>